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Additional Provisions:</w:t>
      </w:r>
    </w:p>
    <w:p>
      <w:pPr>
        <w:pStyle w:val="Normal"/>
        <w:rPr/>
      </w:pPr>
      <w:r>
        <w:rPr/>
      </w:r>
    </w:p>
    <w:p>
      <w:pPr>
        <w:pStyle w:val="Normal"/>
        <w:numPr>
          <w:ilvl w:val="0"/>
          <w:numId w:val="1"/>
        </w:numPr>
        <w:rPr/>
      </w:pPr>
      <w:r>
        <w:rPr>
          <w:b/>
          <w:bCs/>
        </w:rPr>
        <w:t>Unilateral Right of Termination</w:t>
      </w:r>
      <w:r>
        <w:rPr/>
        <w:t>.</w:t>
      </w:r>
    </w:p>
    <w:p>
      <w:pPr>
        <w:pStyle w:val="Normal"/>
        <w:rPr/>
      </w:pPr>
      <w:r>
        <w:rPr/>
      </w:r>
    </w:p>
    <w:p>
      <w:pPr>
        <w:pStyle w:val="Normal"/>
        <w:rPr/>
      </w:pPr>
      <w:r>
        <w:rPr/>
        <w:t>The parties agree that if by [_____p.m.] on June 15, 2001, as such date may be mutually amended (the “Closing Time”), KCS Resources, Inc. {or its designee (?)) and ENA have not executed definitive agreements for the term overriding royalty [and proposed sale of gas and oil by Counterparty to ENA via a gas contract and an oil contract] in accordance with the terms and conditions of the Letter of Understanding executed by KCS Resources, Inc. and ENA on [May 23, 2001], which Letter of Understanding is incorporated by reference herein, then ENA shall have the unilateral right to terminate this Transaction and ENA Commodity Swap VC0975.1 [VC0917.1] (the “Two Transactions”), subject to the following conditions:</w:t>
      </w:r>
    </w:p>
    <w:p>
      <w:pPr>
        <w:pStyle w:val="Normal"/>
        <w:rPr/>
      </w:pPr>
      <w:r>
        <w:rPr/>
      </w:r>
    </w:p>
    <w:p>
      <w:pPr>
        <w:pStyle w:val="Normal"/>
        <w:numPr>
          <w:ilvl w:val="1"/>
          <w:numId w:val="1"/>
        </w:numPr>
        <w:rPr/>
      </w:pPr>
      <w:r>
        <w:rPr/>
        <w:t>ENA shall notify Counterparty of its intention to terminate this Transaction immediately upon expiration of the Closing Time by giving telephonic or written notice to Counterparty, said termination to be effective as of the Closing Time.</w:t>
      </w:r>
    </w:p>
    <w:p>
      <w:pPr>
        <w:pStyle w:val="Normal"/>
        <w:ind w:start="1080" w:end="0"/>
        <w:rPr/>
      </w:pPr>
      <w:r>
        <w:rPr/>
      </w:r>
    </w:p>
    <w:p>
      <w:pPr>
        <w:pStyle w:val="Normal"/>
        <w:numPr>
          <w:ilvl w:val="1"/>
          <w:numId w:val="1"/>
        </w:numPr>
        <w:rPr/>
      </w:pPr>
      <w:r>
        <w:rPr/>
        <w:t>Notwithstanding any other provision contained in the Agreement, the settlement amount for termination of this Transaction shall be determined with respect to the Closing Time (an “early Termination Date” for purposes of “Loss” as defined in the Agreement) as follows:</w:t>
      </w:r>
    </w:p>
    <w:p>
      <w:pPr>
        <w:pStyle w:val="Normal"/>
        <w:rPr/>
      </w:pPr>
      <w:r>
        <w:rPr/>
      </w:r>
    </w:p>
    <w:p>
      <w:pPr>
        <w:pStyle w:val="BodyTextIndent"/>
        <w:rPr/>
      </w:pPr>
      <w:r>
        <w:rPr/>
        <w:t>ENA shall in good faith calculate its Gain, or Loss and Costs resulting from the termination of the parties’ obligations with respect to the unwind of the Two Transactions.  If ENA’s aggregate Losses and Costs exceed its aggregate Gains, if any, resulting from the termination, Counterparty shall, within five (5) days of receipt of such notice, pay such excess to ENA, which amount shall bear interest at the Default Rate from (and including) the Closing Time to (but excluding) the date of payment.  If ENA’s aggregate Gains exceed its aggregate Losses and Cost, if any, resulting from the termination, ENA shall pay 75% of such excess to Counterparty within five (5) days of receipt by Counterparty of ENA’s notice given above, which amount shall bear interest at the Interest Rate from (and including) the Closing Date to (but excluding) the date of payment.</w:t>
      </w:r>
    </w:p>
    <w:p>
      <w:pPr>
        <w:pStyle w:val="Normal"/>
        <w:ind w:start="1440" w:end="0"/>
        <w:rPr/>
      </w:pPr>
      <w:r>
        <w:rPr/>
      </w:r>
    </w:p>
    <w:p>
      <w:pPr>
        <w:pStyle w:val="Normal"/>
        <w:ind w:start="1440" w:end="0"/>
        <w:rPr/>
      </w:pPr>
      <w:r>
        <w:rPr/>
      </w:r>
    </w:p>
    <w:p>
      <w:pPr>
        <w:pStyle w:val="Normal"/>
        <w:numPr>
          <w:ilvl w:val="0"/>
          <w:numId w:val="1"/>
        </w:numPr>
        <w:rPr/>
      </w:pPr>
      <w:r>
        <w:rPr>
          <w:b/>
          <w:bCs/>
        </w:rPr>
        <w:t>Collateral Annex</w:t>
      </w:r>
      <w:r>
        <w:rPr/>
        <w:t>.</w:t>
      </w:r>
    </w:p>
    <w:p>
      <w:pPr>
        <w:pStyle w:val="Normal"/>
        <w:rPr/>
      </w:pPr>
      <w:r>
        <w:rPr/>
      </w:r>
    </w:p>
    <w:p>
      <w:pPr>
        <w:pStyle w:val="Normal"/>
        <w:rPr/>
      </w:pPr>
      <w:r>
        <w:rPr/>
        <w:t xml:space="preserve">For purposes only of the Two Transactions as defined hereinabove, the provisions of Annex A, Collateral Annex, to the Agreement (the “Collateral Annex”) shall </w:t>
      </w:r>
      <w:r>
        <w:rPr>
          <w:u w:val="single"/>
        </w:rPr>
        <w:t>not</w:t>
      </w:r>
      <w:r>
        <w:rPr/>
        <w:t xml:space="preserve"> include the Two Transactions, but rather, the Two Transactions shall be deemed to be subject to an independent set of collateral and exposure provisions identical to the Collateral Annex, except that the definition of “Exposure Threshold” shall be amended to read:</w:t>
      </w:r>
    </w:p>
    <w:p>
      <w:pPr>
        <w:pStyle w:val="Normal"/>
        <w:rPr/>
      </w:pPr>
      <w:r>
        <w:rPr/>
      </w:r>
    </w:p>
    <w:p>
      <w:pPr>
        <w:pStyle w:val="Normal"/>
        <w:rPr/>
      </w:pPr>
      <w:r>
        <w:rPr/>
        <w:t>“</w:t>
      </w:r>
      <w:r>
        <w:rPr/>
        <w:t xml:space="preserve">Exposure Threshold” shall mean, with respect to (i) ENA, $10,000,000, and (ii) Counterparty, $250,000; provided, however, that the Exposure Threshold for a party shall be zero upon the occurrence and during the continuance of a Material Adverse Change or an Event of Default (or event that would constitute an Event of Default with the lapse of time or giving of notice or both) with respect to such party. </w:t>
      </w:r>
    </w:p>
    <w:p>
      <w:pPr>
        <w:pStyle w:val="Normal"/>
        <w:rPr/>
      </w:pPr>
      <w:r>
        <w:rPr/>
      </w:r>
    </w:p>
    <w:p>
      <w:pPr>
        <w:pStyle w:val="Normal"/>
        <w:rPr/>
      </w:pPr>
      <w:r>
        <w:rPr/>
      </w:r>
    </w:p>
    <w:p>
      <w:pPr>
        <w:pStyle w:val="Normal"/>
        <w:rPr/>
      </w:pPr>
      <w:r>
        <w:rPr/>
      </w:r>
    </w:p>
    <w:p>
      <w:pPr>
        <w:pStyle w:val="Normal"/>
        <w:rPr/>
      </w:pPr>
      <w:r>
        <w:rPr/>
      </w:r>
    </w:p>
    <w:sectPr>
      <w:type w:val="nextPage"/>
      <w:pgSz w:w="12240" w:h="15840"/>
      <w:pgMar w:left="216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50"/>
        </w:tabs>
        <w:ind w:start="750" w:hanging="390"/>
      </w:pPr>
      <w:rPr/>
    </w:lvl>
    <w:lvl w:ilvl="1">
      <w:start w:val="1"/>
      <w:numFmt w:val="lowerLetter"/>
      <w:lvlText w:val="(%2)"/>
      <w:lvlJc w:val="start"/>
      <w:pPr>
        <w:tabs>
          <w:tab w:val="num" w:pos="1470"/>
        </w:tabs>
        <w:ind w:start="1470" w:hanging="39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2001-05-25T15:35:00Z</dcterms:created>
  <dc:creator>sshackl</dc:creator>
  <dc:description/>
  <dc:language>en-CA</dc:language>
  <cp:lastModifiedBy>sshackl</cp:lastModifiedBy>
  <cp:lastPrinted>2001-05-25T14:20:00Z</cp:lastPrinted>
  <dcterms:modified xsi:type="dcterms:W3CDTF">2001-05-25T17:08:00Z</dcterms:modified>
  <cp:revision>6</cp:revision>
  <dc:subject/>
  <dc:title>Additional Provisions:</dc:title>
</cp:coreProperties>
</file>