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settings.xml" ContentType="application/vnd.openxmlformats-officedocument.wordprocessingml.settings+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
        <w:rPr/>
      </w:pPr>
      <w:r>
        <w:rPr/>
      </w:r>
    </w:p>
    <w:p>
      <w:pPr>
        <w:pStyle w:val="Heading"/>
        <w:rPr/>
      </w:pPr>
      <w:r>
        <w:rPr/>
        <w:t>RAPTOR I DERIVATIVE PROPOSAL SHEET</w:t>
      </w:r>
    </w:p>
    <w:p>
      <w:pPr>
        <w:pStyle w:val="Normal"/>
        <w:jc w:val="center"/>
        <w:rPr>
          <w:b/>
          <w:sz w:val="24"/>
        </w:rPr>
      </w:pPr>
      <w:r>
        <w:rPr>
          <w:b/>
          <w:sz w:val="24"/>
        </w:rPr>
      </w:r>
    </w:p>
    <w:p>
      <w:pPr>
        <w:pStyle w:val="Heading6"/>
        <w:ind w:hanging="0" w:start="0"/>
        <w:rPr>
          <w:sz w:val="20"/>
        </w:rPr>
      </w:pPr>
      <w:r>
        <w:rPr>
          <w:sz w:val="20"/>
        </w:rPr>
        <w:t>This Proposal Sheet is used to submit proposed derivative transactions to Talon I LLC under the Raptor I structure.  This Proposal Sheet is for Talon’s approval only, and is not in lieu of any other Enron approvals that may be required.</w:t>
      </w:r>
    </w:p>
    <w:p>
      <w:pPr>
        <w:pStyle w:val="Normal"/>
        <w:rPr>
          <w:sz w:val="20"/>
        </w:rPr>
      </w:pPr>
      <w:r>
        <w:rPr>
          <w:sz w:val="20"/>
        </w:rPr>
      </w:r>
    </w:p>
    <w:tbl>
      <w:tblPr>
        <w:tblW w:w="10800" w:type="dxa"/>
        <w:jc w:val="start"/>
        <w:tblInd w:w="108" w:type="dxa"/>
        <w:tblLayout w:type="fixed"/>
        <w:tblCellMar>
          <w:top w:w="0" w:type="dxa"/>
          <w:start w:w="108" w:type="dxa"/>
          <w:bottom w:w="0" w:type="dxa"/>
          <w:end w:w="108" w:type="dxa"/>
        </w:tblCellMar>
      </w:tblPr>
      <w:tblGrid>
        <w:gridCol w:w="10800"/>
      </w:tblGrid>
      <w:tr>
        <w:trPr>
          <w:trHeight w:val="1744" w:hRule="atLeast"/>
        </w:trPr>
        <w:tc>
          <w:tcPr>
            <w:tcW w:w="10800" w:type="dxa"/>
            <w:tcBorders>
              <w:top w:val="single" w:sz="8" w:space="0" w:color="000000"/>
            </w:tcBorders>
          </w:tcPr>
          <w:p>
            <w:pPr>
              <w:pStyle w:val="Heading8"/>
              <w:rPr/>
            </w:pPr>
            <w:r>
              <w:rPr/>
              <w:t>GENERAL</w:t>
            </w:r>
          </w:p>
          <w:p>
            <w:pPr>
              <w:pStyle w:val="Normal"/>
              <w:spacing w:before="0" w:after="120"/>
              <w:rPr/>
            </w:pPr>
            <w:r>
              <w:rPr/>
              <w:t>This transaction is for the Raptor I structure between Harrier I LLC and Talon I LLC</w:t>
            </w:r>
          </w:p>
          <w:p>
            <w:pPr>
              <w:pStyle w:val="Normal"/>
              <w:tabs>
                <w:tab w:val="clear" w:pos="720"/>
                <w:tab w:val="left" w:pos="1530" w:leader="none"/>
              </w:tabs>
              <w:spacing w:before="0" w:after="120"/>
              <w:rPr/>
            </w:pPr>
            <w:r>
              <w:rPr/>
              <w:t>Date Approval Sheet completed:  SEPTEMBER 6, 2000</w:t>
            </w:r>
          </w:p>
          <w:p>
            <w:pPr>
              <w:pStyle w:val="Normal"/>
              <w:tabs>
                <w:tab w:val="clear" w:pos="720"/>
                <w:tab w:val="left" w:pos="1530" w:leader="none"/>
              </w:tabs>
              <w:spacing w:before="0" w:after="120"/>
              <w:rPr/>
            </w:pPr>
            <w:r>
              <w:rPr/>
              <w:t>Enron person completing this form:  LISA BEST</w:t>
            </w:r>
          </w:p>
          <w:p>
            <w:pPr>
              <w:pStyle w:val="Normal"/>
              <w:tabs>
                <w:tab w:val="clear" w:pos="720"/>
                <w:tab w:val="left" w:pos="1530" w:leader="none"/>
              </w:tabs>
              <w:spacing w:before="0" w:after="120"/>
              <w:rPr/>
            </w:pPr>
            <w:r>
              <w:rPr/>
              <w:t>Expected trade date:  AUGUST 3, 2000</w:t>
            </w:r>
          </w:p>
          <w:p>
            <w:pPr>
              <w:pStyle w:val="Normal"/>
              <w:spacing w:before="0" w:after="120"/>
              <w:rPr/>
            </w:pPr>
            <w:r>
              <w:rPr/>
              <w:t>Business Unit:  ENRON NORTH AMERICA</w:t>
            </w:r>
          </w:p>
          <w:p>
            <w:pPr>
              <w:pStyle w:val="Normal"/>
              <w:ind w:firstLine="90" w:start="-198" w:end="-738"/>
              <w:rPr/>
            </w:pPr>
            <w:r>
              <w:rPr/>
            </w:r>
          </w:p>
        </w:tc>
      </w:tr>
    </w:tbl>
    <w:p>
      <w:pPr>
        <w:pStyle w:val="Normal"/>
        <w:pBdr>
          <w:top w:val="single" w:sz="12" w:space="1" w:color="000000"/>
        </w:pBdr>
        <w:rPr/>
      </w:pPr>
      <w:r>
        <w:rPr>
          <w:b/>
        </w:rPr>
        <w:t>ASSET DESCRIPTION</w:t>
      </w:r>
      <w:r>
        <w:rPr/>
        <w:tab/>
        <w:t>[Insert a detailed description of the underlying asset.]</w:t>
      </w:r>
    </w:p>
    <w:p>
      <w:pPr>
        <w:pStyle w:val="Normal"/>
        <w:rPr/>
      </w:pPr>
      <w:r>
        <w:rPr/>
      </w:r>
    </w:p>
    <w:tbl>
      <w:tblPr>
        <w:tblW w:w="9216" w:type="dxa"/>
        <w:jc w:val="start"/>
        <w:tblInd w:w="0" w:type="dxa"/>
        <w:tblLayout w:type="fixed"/>
        <w:tblCellMar>
          <w:top w:w="0" w:type="dxa"/>
          <w:start w:w="30" w:type="dxa"/>
          <w:bottom w:w="0" w:type="dxa"/>
          <w:end w:w="30" w:type="dxa"/>
        </w:tblCellMar>
      </w:tblPr>
      <w:tblGrid>
        <w:gridCol w:w="9216"/>
      </w:tblGrid>
      <w:tr>
        <w:trPr>
          <w:trHeight w:val="235" w:hRule="atLeast"/>
        </w:trPr>
        <w:tc>
          <w:tcPr>
            <w:tcW w:w="9216" w:type="dxa"/>
            <w:tcBorders/>
          </w:tcPr>
          <w:p>
            <w:pPr>
              <w:pStyle w:val="Header"/>
              <w:widowControl/>
              <w:tabs>
                <w:tab w:val="clear" w:pos="4320"/>
                <w:tab w:val="clear" w:pos="8640"/>
                <w:tab w:val="left" w:pos="1530" w:leader="none"/>
              </w:tabs>
              <w:spacing w:before="0" w:after="120"/>
              <w:rPr>
                <w:color w:val="000000"/>
              </w:rPr>
            </w:pPr>
            <w:r>
              <w:rPr>
                <w:color w:val="000000"/>
              </w:rPr>
              <w:t xml:space="preserve">JEDI II, Enron, Clay Harmon and Lester E Clark, Jr. have formed Juniper Energy Limited Partnership, that will use 3D seismic data to explore, develop and manage oil and gas prospects and working interests primarily in the offshore Gulf of Mexico region and any other areas agreeable to the partners.  If the partnership elects to pursue obtaining leaseholds, it will be primarily through farm-ins or joint ventures.  Once a prospect has been identified and leased, the partnership will drill the prospect, sell it, or promote it to the industry.  The primary strategy will be to bring in an operating company on a promoted basis to take up to 50% of each prospect and retain the rest for the partnership.  The partnership will explore in the shelf region where substantial infrastructure exits and where drilling rig availability and costs are attractive.  </w:t>
            </w:r>
          </w:p>
        </w:tc>
      </w:tr>
    </w:tbl>
    <w:p>
      <w:pPr>
        <w:pStyle w:val="Normal"/>
        <w:rPr/>
      </w:pPr>
      <w:r>
        <w:rPr/>
      </w:r>
    </w:p>
    <w:p>
      <w:pPr>
        <w:pStyle w:val="Normal"/>
        <w:pBdr>
          <w:top w:val="single" w:sz="12" w:space="1" w:color="000000"/>
          <w:bottom w:val="single" w:sz="12" w:space="1" w:color="000000"/>
        </w:pBdr>
        <w:rPr/>
      </w:pPr>
      <w:r>
        <w:rPr>
          <w:b/>
        </w:rPr>
        <w:t>DETAIL OF DERIVATIVE</w:t>
      </w:r>
      <w:r>
        <w:rPr/>
        <w:tab/>
        <w:t>[Insert a detailed description of the type, stated term and economic terms of the derivative being entered into and attach a copy of the proposed confirmation.]</w:t>
      </w:r>
    </w:p>
    <w:p>
      <w:pPr>
        <w:pStyle w:val="Normal"/>
        <w:pBdr>
          <w:top w:val="single" w:sz="12" w:space="1" w:color="000000"/>
          <w:bottom w:val="single" w:sz="12" w:space="1" w:color="000000"/>
        </w:pBdr>
        <w:rPr/>
      </w:pPr>
      <w:r>
        <w:rPr/>
      </w:r>
    </w:p>
    <w:p>
      <w:pPr>
        <w:pStyle w:val="Normal"/>
        <w:pBdr>
          <w:top w:val="single" w:sz="12" w:space="1" w:color="000000"/>
          <w:bottom w:val="single" w:sz="12" w:space="1" w:color="000000"/>
        </w:pBdr>
        <w:rPr/>
      </w:pPr>
      <w:r>
        <w:rPr>
          <w:b/>
        </w:rPr>
        <w:t>LEGAL NAME REPRESENTED BY PARTNERSHIP AGREEMENT:</w:t>
      </w:r>
      <w:r>
        <w:rPr/>
        <w:t xml:space="preserve"> Juniper Energy L.P.</w:t>
      </w:r>
    </w:p>
    <w:p>
      <w:pPr>
        <w:pStyle w:val="Normal"/>
        <w:pBdr>
          <w:top w:val="single" w:sz="12" w:space="1" w:color="000000"/>
          <w:bottom w:val="single" w:sz="12" w:space="1" w:color="000000"/>
        </w:pBdr>
        <w:rPr>
          <w:b/>
        </w:rPr>
      </w:pPr>
      <w:r>
        <w:rPr>
          <w:b/>
        </w:rPr>
        <w:t xml:space="preserve">TYPE OF INVESTMENT: </w:t>
      </w:r>
      <w:r>
        <w:rPr>
          <w:bCs/>
        </w:rPr>
        <w:t xml:space="preserve">Limited </w:t>
      </w:r>
      <w:r>
        <w:rPr/>
        <w:t>Partnership Interest</w:t>
      </w:r>
    </w:p>
    <w:p>
      <w:pPr>
        <w:pStyle w:val="Normal"/>
        <w:pBdr>
          <w:top w:val="single" w:sz="12" w:space="1" w:color="000000"/>
          <w:bottom w:val="single" w:sz="12" w:space="1" w:color="000000"/>
        </w:pBdr>
        <w:rPr/>
      </w:pPr>
      <w:r>
        <w:rPr>
          <w:b/>
        </w:rPr>
        <w:t xml:space="preserve">STRIKE PRICE: </w:t>
      </w:r>
      <w:r>
        <w:rPr/>
        <w:t>$22,854,375 Notional Value, includes a $1,937,500 outstanding commitment</w:t>
      </w:r>
    </w:p>
    <w:p>
      <w:pPr>
        <w:pStyle w:val="Normal"/>
        <w:pBdr>
          <w:top w:val="single" w:sz="12" w:space="1" w:color="000000"/>
          <w:bottom w:val="single" w:sz="12" w:space="1" w:color="000000"/>
        </w:pBdr>
        <w:rPr>
          <w:b/>
        </w:rPr>
      </w:pPr>
      <w:r>
        <w:rPr>
          <w:b/>
        </w:rPr>
        <w:t>NO. OF SHARES OWNED:</w:t>
      </w:r>
    </w:p>
    <w:p>
      <w:pPr>
        <w:pStyle w:val="Normal"/>
        <w:pBdr>
          <w:top w:val="single" w:sz="12" w:space="1" w:color="000000"/>
          <w:bottom w:val="single" w:sz="12" w:space="1" w:color="000000"/>
        </w:pBdr>
        <w:rPr/>
      </w:pPr>
      <w:r>
        <w:rPr>
          <w:b/>
        </w:rPr>
        <w:t xml:space="preserve"> </w:t>
      </w:r>
      <w:r>
        <w:rPr>
          <w:b/>
        </w:rPr>
        <w:tab/>
        <w:t xml:space="preserve"> NET – </w:t>
      </w:r>
      <w:r>
        <w:rPr/>
        <w:t>62.5% of the Limited Partnership Interest</w:t>
      </w:r>
    </w:p>
    <w:p>
      <w:pPr>
        <w:pStyle w:val="Normal"/>
        <w:pBdr>
          <w:top w:val="single" w:sz="12" w:space="1" w:color="000000"/>
          <w:bottom w:val="single" w:sz="12" w:space="1" w:color="000000"/>
        </w:pBdr>
        <w:rPr/>
      </w:pPr>
      <w:r>
        <w:rPr>
          <w:b/>
        </w:rPr>
        <w:t>TYPE OF DERIVATIVE:</w:t>
      </w:r>
      <w:r>
        <w:rPr/>
        <w:t xml:space="preserve"> price return swap (no dividends, no interest)</w:t>
      </w:r>
    </w:p>
    <w:p>
      <w:pPr>
        <w:pStyle w:val="Heading1"/>
        <w:ind w:hanging="0" w:start="0" w:end="-216"/>
        <w:rPr/>
      </w:pPr>
      <w:r>
        <w:rPr/>
        <w:t>PREMIUM CALCULATION</w:t>
        <w:tab/>
      </w:r>
      <w:r>
        <w:rPr>
          <w:b w:val="false"/>
        </w:rPr>
        <w:t>[Include a detailed explanation of the assumptions and information used to arrive at the premium, attach all relevant work papers associated with the calculation.]</w:t>
      </w:r>
    </w:p>
    <w:p>
      <w:pPr>
        <w:pStyle w:val="Normal"/>
        <w:rPr>
          <w:b/>
        </w:rPr>
      </w:pPr>
      <w:r>
        <w:rPr>
          <w:b/>
        </w:rPr>
      </w:r>
    </w:p>
    <w:p>
      <w:pPr>
        <w:pStyle w:val="Header"/>
        <w:widowControl/>
        <w:tabs>
          <w:tab w:val="clear" w:pos="4320"/>
          <w:tab w:val="clear" w:pos="8640"/>
        </w:tabs>
        <w:rPr/>
      </w:pPr>
      <w:r>
        <w:rPr/>
      </w:r>
    </w:p>
    <w:p>
      <w:pPr>
        <w:pStyle w:val="Normal"/>
        <w:jc w:val="center"/>
        <w:rPr/>
      </w:pPr>
      <w:r>
        <w:rPr/>
        <w:t>N/A</w:t>
      </w:r>
    </w:p>
    <w:p>
      <w:pPr>
        <w:pStyle w:val="Normal"/>
        <w:rPr/>
      </w:pPr>
      <w:r>
        <w:rPr/>
      </w:r>
    </w:p>
    <w:p>
      <w:pPr>
        <w:pStyle w:val="Normal"/>
        <w:rPr/>
      </w:pPr>
      <w:r>
        <w:rPr/>
      </w:r>
    </w:p>
    <w:p>
      <w:pPr>
        <w:pStyle w:val="Normal"/>
        <w:pBdr>
          <w:top w:val="single" w:sz="12" w:space="1" w:color="000000"/>
          <w:bottom w:val="single" w:sz="12" w:space="0" w:color="000000"/>
        </w:pBdr>
        <w:rPr/>
      </w:pPr>
      <w:r>
        <w:rPr>
          <w:b/>
        </w:rPr>
        <w:t>ADDITIONAL INFORMATION</w:t>
      </w:r>
      <w:r>
        <w:rPr/>
        <w:tab/>
        <w:t xml:space="preserve">  [For Public transactions include Harrier filing requirements and for Private transactions include valuation methodology and timing of revaluation.]</w:t>
      </w:r>
    </w:p>
    <w:p>
      <w:pPr>
        <w:pStyle w:val="Normal"/>
        <w:pBdr>
          <w:top w:val="single" w:sz="12" w:space="1" w:color="000000"/>
          <w:bottom w:val="single" w:sz="12" w:space="0" w:color="000000"/>
        </w:pBdr>
        <w:rPr/>
      </w:pPr>
      <w:r>
        <w:rPr/>
      </w:r>
    </w:p>
    <w:p>
      <w:pPr>
        <w:pStyle w:val="Normal"/>
        <w:pBdr>
          <w:top w:val="single" w:sz="12" w:space="1" w:color="000000"/>
          <w:bottom w:val="single" w:sz="12" w:space="0" w:color="000000"/>
        </w:pBdr>
        <w:jc w:val="center"/>
        <w:rPr/>
      </w:pPr>
      <w:r>
        <w:rPr/>
        <w:t>N/A</w:t>
      </w:r>
    </w:p>
    <w:p>
      <w:pPr>
        <w:pStyle w:val="Normal"/>
        <w:pBdr>
          <w:top w:val="single" w:sz="12" w:space="1" w:color="000000"/>
          <w:bottom w:val="single" w:sz="12" w:space="0" w:color="000000"/>
        </w:pBdr>
        <w:rPr/>
      </w:pPr>
      <w:r>
        <w:rPr/>
      </w:r>
    </w:p>
    <w:p>
      <w:pPr>
        <w:pStyle w:val="Normal"/>
        <w:pBdr>
          <w:top w:val="single" w:sz="12" w:space="1" w:color="000000"/>
          <w:bottom w:val="single" w:sz="12" w:space="0" w:color="000000"/>
        </w:pBdr>
        <w:rPr/>
      </w:pPr>
      <w:r>
        <w:rPr/>
      </w:r>
    </w:p>
    <w:p>
      <w:pPr>
        <w:pStyle w:val="Normal"/>
        <w:pBdr>
          <w:top w:val="single" w:sz="12" w:space="1" w:color="000000"/>
          <w:bottom w:val="single" w:sz="12" w:space="0" w:color="000000"/>
        </w:pBdr>
        <w:rPr/>
      </w:pPr>
      <w:r>
        <w:rPr/>
      </w:r>
    </w:p>
    <w:sectPr>
      <w:headerReference w:type="default" r:id="rId2"/>
      <w:headerReference w:type="first" r:id="rId3"/>
      <w:footerReference w:type="default" r:id="rId4"/>
      <w:footerReference w:type="first" r:id="rId5"/>
      <w:type w:val="nextPage"/>
      <w:pgSz w:w="12240" w:h="15840"/>
      <w:pgMar w:left="432" w:right="1008" w:gutter="0" w:header="720" w:top="1008" w:footer="720" w:bottom="1008"/>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Wingdings">
    <w:charset w:val="02"/>
    <w:family w:val="auto"/>
    <w:pitch w:val="variable"/>
  </w:font>
  <w:font w:name="Tahoma">
    <w:charset w:val="00" w:characterSet="windows-1252"/>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sz w:val="12"/>
      </w:rPr>
    </w:pPr>
    <w:r>
      <w:rPr>
        <w:sz w:val="12"/>
      </w:rPr>
      <w:fldChar w:fldCharType="begin"/>
    </w:r>
    <w:r>
      <w:rPr>
        <w:sz w:val="12"/>
      </w:rPr>
      <w:instrText xml:space="preserve"> FILENAME \p </w:instrText>
    </w:r>
    <w:r>
      <w:rPr>
        <w:sz w:val="12"/>
      </w:rPr>
      <w:fldChar w:fldCharType="separate"/>
    </w:r>
    <w:r>
      <w:rPr>
        <w:sz w:val="12"/>
      </w:rPr>
      <w:t>/mnt/main-storage/datasets/enron-docs/doc/Juniper-4013130b9a85b74312c7d59e873ec92b4e5ea33327fee0b94a8251b9c1d46a9c.doc</w:t>
    </w:r>
    <w:r>
      <w:rPr>
        <w:sz w:val="12"/>
      </w:rPr>
      <w:fldChar w:fldCharType="end"/>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sz w:val="12"/>
      </w:rPr>
    </w:pPr>
    <w:r>
      <w:rPr>
        <w:sz w:val="12"/>
      </w:rPr>
      <w:fldChar w:fldCharType="begin"/>
    </w:r>
    <w:r>
      <w:rPr>
        <w:sz w:val="12"/>
      </w:rPr>
      <w:instrText xml:space="preserve"> FILENAME \p </w:instrText>
    </w:r>
    <w:r>
      <w:rPr>
        <w:sz w:val="12"/>
      </w:rPr>
      <w:fldChar w:fldCharType="separate"/>
    </w:r>
    <w:r>
      <w:rPr>
        <w:sz w:val="12"/>
      </w:rPr>
      <w:t>/mnt/main-storage/datasets/enron-docs/doc/Juniper-4013130b9a85b74312c7d59e873ec92b4e5ea33327fee0b94a8251b9c1d46a9c.doc</w:t>
    </w:r>
    <w:r>
      <w:rPr>
        <w:sz w:val="12"/>
      </w:rPr>
      <w:fldChar w:fldCharType="end"/>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b/>
      </w:rPr>
    </w:pPr>
    <w:r>
      <w:rPr>
        <w:b/>
      </w:rPr>
      <w:t>LJM APPROVAL SHEET</w:t>
    </w:r>
  </w:p>
  <w:p>
    <w:pPr>
      <w:pStyle w:val="Header"/>
      <w:rPr>
        <w:b/>
      </w:rPr>
    </w:pPr>
    <w:r>
      <w:rPr>
        <w:b/>
      </w:rPr>
      <w:t>Page 2</w:t>
    </w:r>
  </w:p>
  <w:p>
    <w:pPr>
      <w:pStyle w:val="Header"/>
      <w:rPr>
        <w:b/>
      </w:rPr>
    </w:pPr>
    <w:r>
      <w:rPr>
        <w:b/>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Left"/>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pStyle w:val="Heading6"/>
      <w:numFmt w:val="none"/>
      <w:suff w:val="nothing"/>
      <w:lvlText w:val=""/>
      <w:lvlJc w:val="start"/>
      <w:pPr>
        <w:tabs>
          <w:tab w:val="num" w:pos="0"/>
        </w:tabs>
        <w:ind w:start="0" w:hanging="0"/>
      </w:pPr>
    </w:lvl>
    <w:lvl w:ilvl="6">
      <w:start w:val="1"/>
      <w:pStyle w:val="Heading7"/>
      <w:numFmt w:val="none"/>
      <w:suff w:val="nothing"/>
      <w:lvlText w:val=""/>
      <w:lvlJc w:val="start"/>
      <w:pPr>
        <w:tabs>
          <w:tab w:val="num" w:pos="0"/>
        </w:tabs>
        <w:ind w:start="0" w:hanging="0"/>
      </w:pPr>
    </w:lvl>
    <w:lvl w:ilvl="7">
      <w:start w:val="1"/>
      <w:pStyle w:val="Heading8"/>
      <w:numFmt w:val="none"/>
      <w:suff w:val="nothing"/>
      <w:lvlText w:val=""/>
      <w:lvlJc w:val="start"/>
      <w:pPr>
        <w:tabs>
          <w:tab w:val="num" w:pos="0"/>
        </w:tabs>
        <w:ind w:start="0" w:hanging="0"/>
      </w:pPr>
    </w:lvl>
    <w:lvl w:ilvl="8">
      <w:start w:val="1"/>
      <w:pStyle w:val="Heading9"/>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bidi="ar-SA" w:eastAsia="zh-CN"/>
    </w:rPr>
  </w:style>
  <w:style w:type="paragraph" w:styleId="Heading1">
    <w:name w:val="heading 1"/>
    <w:basedOn w:val="Normal"/>
    <w:next w:val="Normal"/>
    <w:qFormat/>
    <w:pPr>
      <w:keepNext w:val="true"/>
      <w:numPr>
        <w:ilvl w:val="0"/>
        <w:numId w:val="1"/>
      </w:numPr>
      <w:outlineLvl w:val="0"/>
    </w:pPr>
    <w:rPr>
      <w:b/>
    </w:rPr>
  </w:style>
  <w:style w:type="paragraph" w:styleId="Heading2">
    <w:name w:val="heading 2"/>
    <w:basedOn w:val="Normal"/>
    <w:next w:val="Normal"/>
    <w:qFormat/>
    <w:pPr>
      <w:keepNext w:val="true"/>
      <w:widowControl w:val="false"/>
      <w:numPr>
        <w:ilvl w:val="1"/>
        <w:numId w:val="1"/>
      </w:numPr>
      <w:outlineLvl w:val="1"/>
    </w:pPr>
    <w:rPr>
      <w:b/>
      <w:i/>
      <w:sz w:val="20"/>
    </w:rPr>
  </w:style>
  <w:style w:type="paragraph" w:styleId="Heading3">
    <w:name w:val="heading 3"/>
    <w:basedOn w:val="Normal"/>
    <w:next w:val="Normal"/>
    <w:qFormat/>
    <w:pPr>
      <w:keepNext w:val="true"/>
      <w:widowControl w:val="false"/>
      <w:numPr>
        <w:ilvl w:val="2"/>
        <w:numId w:val="1"/>
      </w:numPr>
      <w:ind w:hanging="0" w:start="0" w:end="-1196"/>
      <w:outlineLvl w:val="2"/>
    </w:pPr>
    <w:rPr>
      <w:b/>
      <w:sz w:val="20"/>
    </w:rPr>
  </w:style>
  <w:style w:type="paragraph" w:styleId="Heading4">
    <w:name w:val="heading 4"/>
    <w:basedOn w:val="Normal"/>
    <w:next w:val="Normal"/>
    <w:qFormat/>
    <w:pPr>
      <w:keepNext w:val="true"/>
      <w:numPr>
        <w:ilvl w:val="3"/>
        <w:numId w:val="1"/>
      </w:numPr>
      <w:pBdr>
        <w:top w:val="single" w:sz="4" w:space="1" w:color="000000"/>
      </w:pBdr>
      <w:tabs>
        <w:tab w:val="clear" w:pos="720"/>
        <w:tab w:val="left" w:pos="9990" w:leader="none"/>
      </w:tabs>
      <w:ind w:hanging="0" w:start="0" w:end="-36"/>
      <w:outlineLvl w:val="3"/>
    </w:pPr>
    <w:rPr>
      <w:b/>
    </w:rPr>
  </w:style>
  <w:style w:type="paragraph" w:styleId="Heading5">
    <w:name w:val="heading 5"/>
    <w:basedOn w:val="Normal"/>
    <w:next w:val="Normal"/>
    <w:qFormat/>
    <w:pPr>
      <w:keepNext w:val="true"/>
      <w:numPr>
        <w:ilvl w:val="4"/>
        <w:numId w:val="1"/>
      </w:numPr>
      <w:jc w:val="end"/>
      <w:outlineLvl w:val="4"/>
    </w:pPr>
    <w:rPr>
      <w:b/>
    </w:rPr>
  </w:style>
  <w:style w:type="paragraph" w:styleId="Heading6">
    <w:name w:val="heading 6"/>
    <w:basedOn w:val="Normal"/>
    <w:next w:val="Normal"/>
    <w:qFormat/>
    <w:pPr>
      <w:keepNext w:val="true"/>
      <w:numPr>
        <w:ilvl w:val="5"/>
        <w:numId w:val="1"/>
      </w:numPr>
      <w:jc w:val="both"/>
      <w:outlineLvl w:val="5"/>
    </w:pPr>
    <w:rPr>
      <w:sz w:val="24"/>
    </w:rPr>
  </w:style>
  <w:style w:type="paragraph" w:styleId="Heading7">
    <w:name w:val="heading 7"/>
    <w:basedOn w:val="Normal"/>
    <w:next w:val="Normal"/>
    <w:qFormat/>
    <w:pPr>
      <w:keepNext w:val="true"/>
      <w:widowControl w:val="false"/>
      <w:numPr>
        <w:ilvl w:val="6"/>
        <w:numId w:val="1"/>
      </w:numPr>
      <w:outlineLvl w:val="6"/>
    </w:pPr>
    <w:rPr>
      <w:b/>
      <w:i/>
      <w:sz w:val="20"/>
    </w:rPr>
  </w:style>
  <w:style w:type="paragraph" w:styleId="Heading8">
    <w:name w:val="heading 8"/>
    <w:basedOn w:val="Normal"/>
    <w:next w:val="Normal"/>
    <w:qFormat/>
    <w:pPr>
      <w:keepNext w:val="true"/>
      <w:numPr>
        <w:ilvl w:val="7"/>
        <w:numId w:val="1"/>
      </w:numPr>
      <w:spacing w:before="0" w:after="120"/>
      <w:ind w:hanging="0" w:start="0" w:end="792"/>
      <w:outlineLvl w:val="7"/>
    </w:pPr>
    <w:rPr>
      <w:b/>
    </w:rPr>
  </w:style>
  <w:style w:type="paragraph" w:styleId="Heading9">
    <w:name w:val="heading 9"/>
    <w:basedOn w:val="Normal"/>
    <w:next w:val="Normal"/>
    <w:qFormat/>
    <w:pPr>
      <w:keepNext w:val="true"/>
      <w:widowControl w:val="false"/>
      <w:numPr>
        <w:ilvl w:val="8"/>
        <w:numId w:val="1"/>
      </w:numPr>
      <w:tabs>
        <w:tab w:val="clear" w:pos="720"/>
        <w:tab w:val="left" w:pos="2870" w:leader="none"/>
        <w:tab w:val="left" w:pos="3617" w:leader="none"/>
      </w:tabs>
      <w:ind w:hanging="0" w:start="420" w:end="-217"/>
      <w:outlineLvl w:val="8"/>
    </w:pPr>
    <w:rPr>
      <w:b/>
      <w:sz w:val="20"/>
    </w:rPr>
  </w:style>
  <w:style w:type="character" w:styleId="WW8Num1z0">
    <w:name w:val="WW8Num1z0"/>
    <w:qFormat/>
    <w:rPr>
      <w:rFonts w:ascii="Wingdings" w:hAnsi="Wingdings" w:cs="Wingdings"/>
    </w:rPr>
  </w:style>
  <w:style w:type="character" w:styleId="WW8Num2z0">
    <w:name w:val="WW8Num2z0"/>
    <w:qFormat/>
    <w:rPr/>
  </w:style>
  <w:style w:type="character" w:styleId="WW8Num3z0">
    <w:name w:val="WW8Num3z0"/>
    <w:qFormat/>
    <w:rPr/>
  </w:style>
  <w:style w:type="character" w:styleId="DefaultParagraphFont">
    <w:name w:val="Default Paragraph Font"/>
    <w:qFormat/>
    <w:rPr/>
  </w:style>
  <w:style w:type="character" w:styleId="PageNumber">
    <w:name w:val="page number"/>
    <w:basedOn w:val="DefaultParagraphFont"/>
    <w:rPr>
      <w:sz w:val="20"/>
    </w:rPr>
  </w:style>
  <w:style w:type="paragraph" w:styleId="Heading">
    <w:name w:val="Heading"/>
    <w:basedOn w:val="Normal"/>
    <w:next w:val="BodyText"/>
    <w:qFormat/>
    <w:pPr>
      <w:jc w:val="center"/>
    </w:pPr>
    <w:rPr>
      <w:b/>
      <w:sz w:val="32"/>
    </w:rPr>
  </w:style>
  <w:style w:type="paragraph" w:styleId="BodyText">
    <w:name w:val="Body Text"/>
    <w:basedOn w:val="Normal"/>
    <w:pPr/>
    <w:rPr>
      <w:sz w:val="20"/>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widowControl w:val="false"/>
      <w:tabs>
        <w:tab w:val="clear" w:pos="720"/>
        <w:tab w:val="center" w:pos="4320" w:leader="none"/>
        <w:tab w:val="right" w:pos="8640" w:leader="none"/>
      </w:tabs>
    </w:pPr>
    <w:rPr>
      <w:sz w:val="20"/>
    </w:rPr>
  </w:style>
  <w:style w:type="paragraph" w:styleId="BodyText3">
    <w:name w:val="Body Text 3"/>
    <w:basedOn w:val="Normal"/>
    <w:qFormat/>
    <w:pPr>
      <w:widowControl w:val="false"/>
    </w:pPr>
    <w:rPr>
      <w:color w:val="FF0000"/>
      <w:sz w:val="20"/>
    </w:rPr>
  </w:style>
  <w:style w:type="paragraph" w:styleId="Footer">
    <w:name w:val="footer"/>
    <w:basedOn w:val="Normal"/>
    <w:pPr>
      <w:widowControl w:val="false"/>
      <w:tabs>
        <w:tab w:val="clear" w:pos="720"/>
        <w:tab w:val="center" w:pos="4320" w:leader="none"/>
        <w:tab w:val="right" w:pos="8640" w:leader="none"/>
      </w:tabs>
    </w:pPr>
    <w:rPr>
      <w:sz w:val="20"/>
    </w:rPr>
  </w:style>
  <w:style w:type="paragraph" w:styleId="BodyText2">
    <w:name w:val="Body Text 2"/>
    <w:basedOn w:val="Normal"/>
    <w:qFormat/>
    <w:pPr/>
    <w:rPr>
      <w:color w:val="FF0000"/>
    </w:rPr>
  </w:style>
  <w:style w:type="paragraph" w:styleId="DocumentMap">
    <w:name w:val="Document Map"/>
    <w:basedOn w:val="Normal"/>
    <w:qFormat/>
    <w:pPr>
      <w:shd w:fill="000080" w:val="clear"/>
    </w:pPr>
    <w:rPr>
      <w:rFonts w:ascii="Tahoma" w:hAnsi="Tahoma" w:cs="Tahoma"/>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paragraph" w:styleId="HeaderLeft">
    <w:name w:val="Header Left"/>
    <w:basedOn w:val="Header"/>
    <w:qFormat/>
    <w:pPr>
      <w:suppressLineNumbers/>
      <w:tabs>
        <w:tab w:val="clear" w:pos="4320"/>
        <w:tab w:val="clear" w:pos="8640"/>
        <w:tab w:val="center" w:pos="5400" w:leader="none"/>
        <w:tab w:val="right" w:pos="10800" w:leader="none"/>
      </w:tabs>
    </w:pPr>
    <w:rPr/>
  </w:style>
  <w:style w:type="numbering" w:styleId="WW8Num1">
    <w:name w:val="WW8Num1"/>
    <w:qFormat/>
  </w:style>
  <w:style w:type="numbering" w:styleId="WW8Num2">
    <w:name w:val="WW8Num2"/>
    <w:qFormat/>
  </w:style>
  <w:style w:type="numbering" w:styleId="WW8Num3">
    <w:name w:val="WW8Num3"/>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footer" Target="footer1.xml"/><Relationship Id="rId5" Type="http://schemas.openxmlformats.org/officeDocument/2006/relationships/footer" Target="footer2.xml"/><Relationship Id="rId6" Type="http://schemas.openxmlformats.org/officeDocument/2006/relationships/numbering" Target="numbering.xml"/><Relationship Id="rId7" Type="http://schemas.openxmlformats.org/officeDocument/2006/relationships/fontTable" Target="fontTable.xml"/><Relationship Id="rId8" Type="http://schemas.openxmlformats.org/officeDocument/2006/relationships/settings" Target="settings.xml"/><Relationship Id="rId9"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5</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2000-09-06T13:02:00Z</dcterms:created>
  <dc:creator>mruane</dc:creator>
  <dc:description>MR: 9-20-99 added tax signoff</dc:description>
  <dc:language>en-CA</dc:language>
  <cp:lastModifiedBy>mcook</cp:lastModifiedBy>
  <cp:lastPrinted>2000-09-15T16:36:00Z</cp:lastPrinted>
  <dcterms:modified xsi:type="dcterms:W3CDTF">2000-09-15T19:06:00Z</dcterms:modified>
  <cp:revision>11</cp:revision>
  <dc:subject/>
  <dc:title>ENRON RISK ASSESSMENT AND CONTROL</dc:title>
</cp:coreProperties>
</file>