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8"/>
        </w:rPr>
      </w:pPr>
      <w:r>
        <w:rPr>
          <w:sz w:val="28"/>
        </w:rPr>
        <w:t>June 6 International Trade Commission Hearing</w:t>
      </w:r>
    </w:p>
    <w:p>
      <w:pPr>
        <w:pStyle w:val="Normal"/>
        <w:jc w:val="center"/>
        <w:rPr>
          <w:b/>
          <w:sz w:val="28"/>
        </w:rPr>
      </w:pPr>
      <w:r>
        <w:rPr>
          <w:b/>
          <w:sz w:val="28"/>
        </w:rPr>
      </w:r>
    </w:p>
    <w:p>
      <w:pPr>
        <w:pStyle w:val="Normal"/>
        <w:jc w:val="center"/>
        <w:rPr>
          <w:b/>
          <w:sz w:val="28"/>
        </w:rPr>
      </w:pPr>
      <w:r>
        <w:rPr>
          <w:b/>
          <w:sz w:val="28"/>
        </w:rPr>
        <w:t>Report on Recent Reforms in the Electricity Sector in Australia</w:t>
      </w:r>
    </w:p>
    <w:p>
      <w:pPr>
        <w:pStyle w:val="Normal"/>
        <w:rPr>
          <w:b/>
          <w:sz w:val="24"/>
        </w:rPr>
      </w:pPr>
      <w:r>
        <w:rPr>
          <w:b/>
          <w:sz w:val="24"/>
        </w:rPr>
      </w:r>
    </w:p>
    <w:p>
      <w:pPr>
        <w:pStyle w:val="Normal"/>
        <w:rPr>
          <w:sz w:val="24"/>
        </w:rPr>
      </w:pPr>
      <w:r>
        <w:rPr>
          <w:sz w:val="24"/>
        </w:rPr>
      </w:r>
    </w:p>
    <w:p>
      <w:pPr>
        <w:pStyle w:val="Normal"/>
        <w:rPr>
          <w:b/>
          <w:sz w:val="24"/>
        </w:rPr>
      </w:pPr>
      <w:r>
        <w:rPr>
          <w:b/>
          <w:sz w:val="24"/>
        </w:rPr>
        <w:t>1.</w:t>
        <w:tab/>
        <w:t>Introduction</w:t>
      </w:r>
    </w:p>
    <w:p>
      <w:pPr>
        <w:pStyle w:val="Normal"/>
        <w:rPr>
          <w:sz w:val="24"/>
        </w:rPr>
      </w:pPr>
      <w:r>
        <w:rPr>
          <w:sz w:val="24"/>
        </w:rPr>
        <w:t>Australia’s electricity sector reforms, which culminated in the establishment of the National Electricity Market in 1998, represented a significant change to the structure and dynamics of the electricity industry.  These reforms have delivered considerable benefits to date.  Governments have implemented many of the proposed structural reforms and a number of the anticipated benefits have already been realised.  However, a number of significant problems have emerged with these reforms.</w:t>
      </w:r>
    </w:p>
    <w:p>
      <w:pPr>
        <w:pStyle w:val="Normal"/>
        <w:rPr>
          <w:sz w:val="24"/>
        </w:rPr>
      </w:pPr>
      <w:r>
        <w:rPr>
          <w:sz w:val="24"/>
        </w:rPr>
      </w:r>
    </w:p>
    <w:p>
      <w:pPr>
        <w:pStyle w:val="Normal"/>
        <w:rPr>
          <w:sz w:val="24"/>
        </w:rPr>
      </w:pPr>
      <w:r>
        <w:rPr>
          <w:sz w:val="24"/>
        </w:rPr>
      </w:r>
    </w:p>
    <w:p>
      <w:pPr>
        <w:pStyle w:val="Normal"/>
        <w:rPr>
          <w:b/>
          <w:sz w:val="24"/>
        </w:rPr>
      </w:pPr>
      <w:r>
        <w:rPr>
          <w:b/>
          <w:sz w:val="24"/>
        </w:rPr>
        <w:t>2.</w:t>
        <w:tab/>
        <w:t>History of the National Electricity Market</w:t>
      </w:r>
    </w:p>
    <w:p>
      <w:pPr>
        <w:pStyle w:val="Style14"/>
        <w:rPr>
          <w:rFonts w:ascii="Times New Roman" w:hAnsi="Times New Roman" w:cs="Times New Roman"/>
          <w:sz w:val="24"/>
          <w:lang w:eastAsia="en-US"/>
        </w:rPr>
      </w:pPr>
      <w:r>
        <w:rPr>
          <w:rFonts w:cs="Times New Roman" w:ascii="Times New Roman" w:hAnsi="Times New Roman"/>
          <w:sz w:val="24"/>
          <w:lang w:eastAsia="en-US"/>
        </w:rPr>
        <w:t>Prior to 1990, in each Australian State or Territory:</w:t>
      </w:r>
    </w:p>
    <w:p>
      <w:pPr>
        <w:pStyle w:val="Normal"/>
        <w:numPr>
          <w:ilvl w:val="0"/>
          <w:numId w:val="5"/>
        </w:numPr>
        <w:ind w:hanging="360" w:start="360" w:end="0"/>
        <w:rPr>
          <w:sz w:val="24"/>
          <w:lang w:eastAsia="en-US"/>
        </w:rPr>
      </w:pPr>
      <w:r>
        <w:rPr>
          <w:sz w:val="24"/>
          <w:lang w:eastAsia="en-US"/>
        </w:rPr>
        <w:t>The electricity supply industry was dominated by a single vertically integrated State owned authority (or combination of State owned authorities) responsible for generation, transmission and distribution of electricity.</w:t>
      </w:r>
    </w:p>
    <w:p>
      <w:pPr>
        <w:pStyle w:val="Normal"/>
        <w:numPr>
          <w:ilvl w:val="0"/>
          <w:numId w:val="7"/>
        </w:numPr>
        <w:ind w:hanging="360" w:start="360" w:end="0"/>
        <w:rPr>
          <w:sz w:val="24"/>
          <w:lang w:eastAsia="en-US"/>
        </w:rPr>
      </w:pPr>
      <w:r>
        <w:rPr>
          <w:sz w:val="24"/>
          <w:lang w:eastAsia="en-US"/>
        </w:rPr>
        <w:t>New investment in the electricity industry was driven by the particular State or Territory Government.</w:t>
      </w:r>
    </w:p>
    <w:p>
      <w:pPr>
        <w:pStyle w:val="Normal"/>
        <w:numPr>
          <w:ilvl w:val="0"/>
          <w:numId w:val="3"/>
        </w:numPr>
        <w:ind w:hanging="360" w:start="360" w:end="0"/>
        <w:rPr>
          <w:sz w:val="24"/>
          <w:lang w:eastAsia="en-US"/>
        </w:rPr>
      </w:pPr>
      <w:r>
        <w:rPr>
          <w:sz w:val="24"/>
          <w:lang w:eastAsia="en-US"/>
        </w:rPr>
        <w:t>Electricity prices were set by the State or Territory Government.</w:t>
      </w:r>
    </w:p>
    <w:p>
      <w:pPr>
        <w:pStyle w:val="Normal"/>
        <w:ind w:hanging="450" w:start="450" w:end="0"/>
        <w:rPr>
          <w:sz w:val="24"/>
          <w:lang w:eastAsia="en-US"/>
        </w:rPr>
      </w:pPr>
      <w:r>
        <w:rPr>
          <w:sz w:val="24"/>
          <w:lang w:eastAsia="en-US"/>
        </w:rPr>
      </w:r>
    </w:p>
    <w:p>
      <w:pPr>
        <w:pStyle w:val="Style14"/>
        <w:rPr>
          <w:rFonts w:ascii="Times New Roman" w:hAnsi="Times New Roman" w:cs="Times New Roman"/>
          <w:sz w:val="24"/>
          <w:lang w:eastAsia="en-US"/>
        </w:rPr>
      </w:pPr>
      <w:r>
        <w:rPr>
          <w:rFonts w:cs="Times New Roman" w:ascii="Times New Roman" w:hAnsi="Times New Roman"/>
          <w:sz w:val="24"/>
          <w:lang w:eastAsia="en-US"/>
        </w:rPr>
        <w:t>In 1991, the Industry Commission of the Federal Government, recommended a major restructure of the electricity industry by:</w:t>
      </w:r>
    </w:p>
    <w:p>
      <w:pPr>
        <w:pStyle w:val="Normal"/>
        <w:numPr>
          <w:ilvl w:val="0"/>
          <w:numId w:val="6"/>
        </w:numPr>
        <w:ind w:hanging="360" w:start="360" w:end="0"/>
        <w:rPr>
          <w:sz w:val="24"/>
          <w:lang w:eastAsia="en-US"/>
        </w:rPr>
      </w:pPr>
      <w:r>
        <w:rPr>
          <w:sz w:val="24"/>
          <w:lang w:eastAsia="en-US"/>
        </w:rPr>
        <w:t>disaggregating existing utilities into separate generation, transmission, distribution and retail entities;</w:t>
      </w:r>
    </w:p>
    <w:p>
      <w:pPr>
        <w:pStyle w:val="Normal"/>
        <w:numPr>
          <w:ilvl w:val="0"/>
          <w:numId w:val="1"/>
        </w:numPr>
        <w:ind w:hanging="360" w:start="360" w:end="0"/>
        <w:rPr>
          <w:sz w:val="24"/>
          <w:lang w:eastAsia="en-US"/>
        </w:rPr>
      </w:pPr>
      <w:r>
        <w:rPr>
          <w:sz w:val="24"/>
          <w:lang w:eastAsia="en-US"/>
        </w:rPr>
        <w:t>corporatising each of these entities;</w:t>
      </w:r>
    </w:p>
    <w:p>
      <w:pPr>
        <w:pStyle w:val="Normal"/>
        <w:numPr>
          <w:ilvl w:val="0"/>
          <w:numId w:val="4"/>
        </w:numPr>
        <w:ind w:hanging="360" w:start="360" w:end="0"/>
        <w:rPr>
          <w:sz w:val="24"/>
          <w:lang w:eastAsia="en-US"/>
        </w:rPr>
      </w:pPr>
      <w:r>
        <w:rPr>
          <w:sz w:val="24"/>
          <w:lang w:eastAsia="en-US"/>
        </w:rPr>
        <w:t>placing the entities in a competitive market with minimal political interference in operational aspects (ie, a National Electricity Market).</w:t>
      </w:r>
    </w:p>
    <w:p>
      <w:pPr>
        <w:pStyle w:val="Style14"/>
        <w:rPr>
          <w:rFonts w:ascii="Times New Roman" w:hAnsi="Times New Roman" w:cs="Times New Roman"/>
          <w:sz w:val="24"/>
          <w:lang w:eastAsia="en-US"/>
        </w:rPr>
      </w:pPr>
      <w:r>
        <w:rPr>
          <w:rFonts w:cs="Times New Roman" w:ascii="Times New Roman" w:hAnsi="Times New Roman"/>
          <w:sz w:val="24"/>
          <w:lang w:eastAsia="en-US"/>
        </w:rPr>
      </w:r>
    </w:p>
    <w:p>
      <w:pPr>
        <w:pStyle w:val="Style14"/>
        <w:rPr/>
      </w:pPr>
      <w:r>
        <w:rPr>
          <w:rFonts w:cs="Times New Roman" w:ascii="Times New Roman" w:hAnsi="Times New Roman"/>
          <w:sz w:val="24"/>
          <w:lang w:eastAsia="en-US"/>
        </w:rPr>
        <w:t>This restructuring of the electricity has largely been completed with the NEM c</w:t>
      </w:r>
      <w:r>
        <w:rPr>
          <w:rFonts w:cs="Times New Roman" w:ascii="Times New Roman" w:hAnsi="Times New Roman"/>
          <w:sz w:val="24"/>
        </w:rPr>
        <w:t>urrently consisting of the States of New South Wales (“NSW”), Victoria, South Australia, Queensland and the Australian Capital Territory.  Physical interconnection exists between NSW and Victoria and between NSW and South Australia.  Queensland will be interconnected with NSW by 2001.  The State of Tasmania is currently planning to become part of the NEM and to be physically interconnected with Victoria by 2003.</w:t>
      </w:r>
    </w:p>
    <w:p>
      <w:pPr>
        <w:pStyle w:val="Style14"/>
        <w:rPr>
          <w:rFonts w:ascii="Times New Roman" w:hAnsi="Times New Roman" w:cs="Times New Roman"/>
          <w:sz w:val="24"/>
        </w:rPr>
      </w:pPr>
      <w:r>
        <w:rPr>
          <w:rFonts w:cs="Times New Roman" w:ascii="Times New Roman" w:hAnsi="Times New Roman"/>
          <w:sz w:val="24"/>
        </w:rPr>
      </w:r>
    </w:p>
    <w:p>
      <w:pPr>
        <w:pStyle w:val="Style14"/>
        <w:rPr>
          <w:rFonts w:ascii="Times New Roman" w:hAnsi="Times New Roman" w:cs="Times New Roman"/>
          <w:sz w:val="24"/>
        </w:rPr>
      </w:pPr>
      <w:r>
        <w:rPr>
          <w:rFonts w:cs="Times New Roman" w:ascii="Times New Roman" w:hAnsi="Times New Roman"/>
          <w:sz w:val="24"/>
        </w:rPr>
        <w:t>The State of Victoria has fully privatised it’s electricity industry and South Australia is currently in the process of privatisation by way of long term leases.  In contrast, in the States of NSW and Queensland the various corporatised entities continue to be owned by the respective State Governments.  However, there are no direct prohibitions on privately owned entities constructing new generation assets or entering into the retail market.</w:t>
      </w:r>
    </w:p>
    <w:p>
      <w:pPr>
        <w:pStyle w:val="Style14"/>
        <w:rPr>
          <w:rFonts w:ascii="Times New Roman" w:hAnsi="Times New Roman" w:cs="Times New Roman"/>
          <w:sz w:val="24"/>
        </w:rPr>
      </w:pPr>
      <w:r>
        <w:rPr>
          <w:rFonts w:cs="Times New Roman" w:ascii="Times New Roman" w:hAnsi="Times New Roman"/>
          <w:sz w:val="24"/>
        </w:rPr>
      </w:r>
    </w:p>
    <w:p>
      <w:pPr>
        <w:pStyle w:val="Style14"/>
        <w:rPr>
          <w:rFonts w:ascii="Times New Roman" w:hAnsi="Times New Roman" w:cs="Times New Roman"/>
          <w:sz w:val="24"/>
        </w:rPr>
      </w:pPr>
      <w:r>
        <w:rPr>
          <w:rFonts w:cs="Times New Roman" w:ascii="Times New Roman" w:hAnsi="Times New Roman"/>
          <w:sz w:val="24"/>
        </w:rPr>
        <w:t>Across the NEM, those customers with annual demand of greater than 160MWh are open to full retail competition.  However, each participating jurisdiction in the NEM has differing timetables for opening the remaining customers to full retail competition.</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keepNext w:val="true"/>
        <w:rPr>
          <w:b/>
          <w:sz w:val="24"/>
        </w:rPr>
      </w:pPr>
      <w:r>
        <w:rPr>
          <w:b/>
          <w:sz w:val="24"/>
        </w:rPr>
        <w:t>3.</w:t>
        <w:tab/>
        <w:t>Nature and Extent of Current Barriers to Market Access</w:t>
      </w:r>
    </w:p>
    <w:p>
      <w:pPr>
        <w:pStyle w:val="Normal"/>
        <w:rPr>
          <w:sz w:val="24"/>
        </w:rPr>
      </w:pPr>
      <w:r>
        <w:rPr>
          <w:sz w:val="24"/>
        </w:rPr>
        <w:t>Whilst the reforms in the electricity industry have opened the industry to competition from privately owned entities, such as Enron, a number of problems have emerged in both the nature of reforms and their implementation.</w:t>
      </w:r>
    </w:p>
    <w:p>
      <w:pPr>
        <w:pStyle w:val="Normal"/>
        <w:rPr>
          <w:sz w:val="24"/>
        </w:rPr>
      </w:pPr>
      <w:r>
        <w:rPr>
          <w:sz w:val="24"/>
        </w:rPr>
      </w:r>
    </w:p>
    <w:p>
      <w:pPr>
        <w:pStyle w:val="Normal"/>
        <w:rPr/>
      </w:pPr>
      <w:r>
        <w:rPr>
          <w:sz w:val="24"/>
        </w:rPr>
        <w:t>A number of these concerns were recently identified and documented by the Business Council of Australia</w:t>
      </w:r>
      <w:r>
        <w:rPr>
          <w:rStyle w:val="FootnoteCharacters"/>
          <w:rStyle w:val="FootnoteReference"/>
          <w:sz w:val="24"/>
        </w:rPr>
        <w:footnoteReference w:id="2"/>
      </w:r>
      <w:r>
        <w:rPr>
          <w:sz w:val="24"/>
        </w:rPr>
        <w:t xml:space="preserve"> (“BCA”) in their report “Australia’s Energy Reform: An Incomplete Journey”</w:t>
      </w:r>
      <w:r>
        <w:rPr>
          <w:rStyle w:val="FootnoteCharacters"/>
          <w:rStyle w:val="FootnoteReference"/>
          <w:sz w:val="24"/>
        </w:rPr>
        <w:footnoteReference w:id="3"/>
      </w:r>
      <w:r>
        <w:rPr>
          <w:sz w:val="24"/>
        </w:rPr>
        <w:t xml:space="preserve">.  </w:t>
      </w:r>
    </w:p>
    <w:p>
      <w:pPr>
        <w:pStyle w:val="Normal"/>
        <w:rPr>
          <w:sz w:val="24"/>
        </w:rPr>
      </w:pPr>
      <w:r>
        <w:rPr>
          <w:sz w:val="24"/>
        </w:rPr>
      </w:r>
    </w:p>
    <w:p>
      <w:pPr>
        <w:pStyle w:val="Normal"/>
        <w:rPr>
          <w:sz w:val="24"/>
        </w:rPr>
      </w:pPr>
      <w:r>
        <w:rPr>
          <w:sz w:val="24"/>
        </w:rPr>
        <w:t>In Enron’s view, the most significant of the problems which were identified by the BCA are:</w:t>
      </w:r>
    </w:p>
    <w:p>
      <w:pPr>
        <w:pStyle w:val="Normal"/>
        <w:numPr>
          <w:ilvl w:val="0"/>
          <w:numId w:val="2"/>
        </w:numPr>
        <w:ind w:hanging="360" w:start="360" w:end="0"/>
        <w:rPr>
          <w:sz w:val="24"/>
        </w:rPr>
      </w:pPr>
      <w:r>
        <w:rPr>
          <w:sz w:val="24"/>
        </w:rPr>
        <w:t>The size and mix of electricity generation capacity in South Australia, and the dominance of the State owned entities created in NSW and Queensland, are currently unable to sustain competitive outcomes.</w:t>
      </w:r>
    </w:p>
    <w:p>
      <w:pPr>
        <w:pStyle w:val="Normal"/>
        <w:numPr>
          <w:ilvl w:val="0"/>
          <w:numId w:val="2"/>
        </w:numPr>
        <w:ind w:hanging="360" w:start="360" w:end="0"/>
        <w:rPr>
          <w:sz w:val="24"/>
        </w:rPr>
      </w:pPr>
      <w:r>
        <w:rPr>
          <w:sz w:val="24"/>
        </w:rPr>
        <w:t>Insufficient physical interconnection exists between the various State regions of the NEM.</w:t>
      </w:r>
    </w:p>
    <w:p>
      <w:pPr>
        <w:pStyle w:val="Normal"/>
        <w:numPr>
          <w:ilvl w:val="0"/>
          <w:numId w:val="2"/>
        </w:numPr>
        <w:ind w:hanging="360" w:start="360" w:end="0"/>
        <w:rPr>
          <w:sz w:val="24"/>
        </w:rPr>
      </w:pPr>
      <w:r>
        <w:rPr>
          <w:sz w:val="24"/>
        </w:rPr>
        <w:t>The move to full retail contestability may stall and be insufficiently coordinated.</w:t>
      </w:r>
    </w:p>
    <w:p>
      <w:pPr>
        <w:pStyle w:val="Normal"/>
        <w:numPr>
          <w:ilvl w:val="0"/>
          <w:numId w:val="2"/>
        </w:numPr>
        <w:ind w:hanging="360" w:start="360" w:end="0"/>
        <w:rPr>
          <w:sz w:val="24"/>
        </w:rPr>
      </w:pPr>
      <w:r>
        <w:rPr>
          <w:sz w:val="24"/>
        </w:rPr>
        <w:t>The electricity regulatory arrangements are cumbersome and provide poor economic signals.</w:t>
      </w:r>
    </w:p>
    <w:p>
      <w:pPr>
        <w:pStyle w:val="Normal"/>
        <w:rPr>
          <w:sz w:val="24"/>
        </w:rPr>
      </w:pPr>
      <w:r>
        <w:rPr>
          <w:sz w:val="24"/>
        </w:rPr>
      </w:r>
    </w:p>
    <w:p>
      <w:pPr>
        <w:pStyle w:val="Normal"/>
        <w:rPr>
          <w:sz w:val="24"/>
        </w:rPr>
      </w:pPr>
      <w:r>
        <w:rPr>
          <w:sz w:val="24"/>
        </w:rPr>
        <w:t>Arguably the most significant barrier is the latter one relating to regulatory arrangements.</w:t>
      </w:r>
    </w:p>
    <w:p>
      <w:pPr>
        <w:pStyle w:val="Normal"/>
        <w:rPr>
          <w:sz w:val="24"/>
        </w:rPr>
      </w:pPr>
      <w:r>
        <w:rPr>
          <w:sz w:val="24"/>
        </w:rPr>
      </w:r>
    </w:p>
    <w:p>
      <w:pPr>
        <w:pStyle w:val="Normal"/>
        <w:rPr>
          <w:sz w:val="24"/>
        </w:rPr>
      </w:pPr>
      <w:r>
        <w:rPr>
          <w:sz w:val="24"/>
        </w:rPr>
        <w:t>In Australia, the NEM is subject to three regulators, namely NEMMCO (the market and independent system operator), NECA (the body responsible for administering the National Electricity Code), and the Australian Competition and Consumer Commission (the general competition regulator).  In addition, each participating State has its own regulator which has responsibility for various aspects of the electricity industry.  Thus, an organisation such as Enron, which actively trades in all regions, must liase with at least seven different regulators with direct responsibility for the electricity industry.</w:t>
      </w:r>
    </w:p>
    <w:p>
      <w:pPr>
        <w:pStyle w:val="Normal"/>
        <w:rPr>
          <w:sz w:val="24"/>
        </w:rPr>
      </w:pPr>
      <w:r>
        <w:rPr>
          <w:sz w:val="24"/>
        </w:rPr>
      </w:r>
    </w:p>
    <w:p>
      <w:pPr>
        <w:pStyle w:val="Normal"/>
        <w:rPr>
          <w:sz w:val="24"/>
        </w:rPr>
      </w:pPr>
      <w:r>
        <w:rPr>
          <w:sz w:val="24"/>
        </w:rPr>
        <w:t>The interaction of these various regulators can result in an unnecessarily complex and cumbersome system.  For example, changes to the National Electricity Code are processed through the NEM regulators, each of whom consults with interested parties and then approves the changes.  There are obvious difficulties arising from multiple regulatory bodies, with differing objectives and views on issues, undertaking reviews of either the same regulatory issues or different aspects of regulatory issues.</w:t>
      </w:r>
    </w:p>
    <w:p>
      <w:pPr>
        <w:pStyle w:val="Normal"/>
        <w:rPr>
          <w:sz w:val="24"/>
        </w:rPr>
      </w:pPr>
      <w:r>
        <w:rPr>
          <w:sz w:val="24"/>
        </w:rPr>
      </w:r>
    </w:p>
    <w:p>
      <w:pPr>
        <w:pStyle w:val="Normal"/>
        <w:rPr>
          <w:sz w:val="24"/>
        </w:rPr>
      </w:pPr>
      <w:r>
        <w:rPr>
          <w:sz w:val="24"/>
        </w:rPr>
        <w:t>Furthermore, the regulatory framework for the electricity industry continues to subject to ongoing amendment.  At times there can be a substantial number of amendments to the National Electricity Code, some of which have a fundamental effect on the market, being considered by the various regulatory bodies.  For example, earlier this year there were over 35 reports on various Code change issues and rate of return issues for State entities, seeking comments from interested parties.</w:t>
      </w:r>
    </w:p>
    <w:p>
      <w:pPr>
        <w:pStyle w:val="Normal"/>
        <w:rPr>
          <w:sz w:val="24"/>
        </w:rPr>
      </w:pPr>
      <w:r>
        <w:rPr>
          <w:sz w:val="24"/>
        </w:rPr>
      </w:r>
    </w:p>
    <w:p>
      <w:pPr>
        <w:pStyle w:val="Normal"/>
        <w:rPr>
          <w:sz w:val="24"/>
        </w:rPr>
      </w:pPr>
      <w:r>
        <w:rPr>
          <w:sz w:val="24"/>
        </w:rPr>
        <w:t>In other markets, it is possible to determine prices through examination of issues of supply and demand.  However, in Enron’s experience, regulatory decisions in the Australian market can have the impact of severely distorting normal price outcomes.  Thus, this regulatory risk creates significant uncertainty in the market and tends, in our view, to discourage investment decisions.</w:t>
      </w:r>
    </w:p>
    <w:p>
      <w:pPr>
        <w:pStyle w:val="Normal"/>
        <w:rPr>
          <w:sz w:val="24"/>
        </w:rPr>
      </w:pPr>
      <w:r>
        <w:rPr>
          <w:sz w:val="24"/>
        </w:rPr>
      </w:r>
    </w:p>
    <w:p>
      <w:pPr>
        <w:pStyle w:val="Normal"/>
        <w:rPr>
          <w:sz w:val="24"/>
        </w:rPr>
      </w:pPr>
      <w:r>
        <w:rPr>
          <w:sz w:val="24"/>
        </w:rPr>
      </w:r>
    </w:p>
    <w:p>
      <w:pPr>
        <w:pStyle w:val="Normal"/>
        <w:rPr>
          <w:b/>
          <w:sz w:val="24"/>
        </w:rPr>
      </w:pPr>
      <w:r>
        <w:rPr>
          <w:b/>
          <w:sz w:val="24"/>
        </w:rPr>
        <w:t>4.</w:t>
        <w:tab/>
        <w:t>Conclusion</w:t>
      </w:r>
    </w:p>
    <w:p>
      <w:pPr>
        <w:pStyle w:val="Normal"/>
        <w:rPr>
          <w:sz w:val="24"/>
        </w:rPr>
      </w:pPr>
      <w:r>
        <w:rPr>
          <w:sz w:val="24"/>
        </w:rPr>
        <w:t>There have been significant reforms in the electricity sector in Australia which have exposed the industry to competitive forces.   However, further reforms and “fine tuning” of the industry will need to occur before the market is fully open competition.</w:t>
      </w:r>
    </w:p>
    <w:p>
      <w:pPr>
        <w:pStyle w:val="Normal"/>
        <w:rPr>
          <w:sz w:val="24"/>
        </w:rPr>
      </w:pPr>
      <w:r>
        <w:rPr>
          <w:sz w:val="24"/>
        </w:rPr>
      </w:r>
    </w:p>
    <w:p>
      <w:pPr>
        <w:pStyle w:val="Normal"/>
        <w:rPr>
          <w:sz w:val="24"/>
        </w:rPr>
      </w:pPr>
      <w:r>
        <w:rPr>
          <w:sz w:val="24"/>
        </w:rPr>
      </w:r>
    </w:p>
    <w:sectPr>
      <w:footerReference w:type="default" r:id="rId2"/>
      <w:footnotePr>
        <w:numFmt w:val="decimal"/>
      </w:footnotePr>
      <w:type w:val="nextPage"/>
      <w:pgSz w:w="12240" w:h="15840"/>
      <w:pgMar w:left="1418" w:right="1418"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/mnt/main-storage/datasets/enron-docs/doc/June_6_ITC_Hearing___version_1.doc</w:t>
    </w:r>
    <w:r>
      <w:rPr>
        <w:sz w:val="12"/>
        <w:lang w:eastAsia="en-US"/>
      </w:rPr>
      <w:fldChar w:fldCharType="end"/>
    </w:r>
    <w:r>
      <w:rPr>
        <w:sz w:val="12"/>
        <w:lang w:eastAsia="en-US"/>
      </w:rPr>
      <w:tab/>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t>The BCA comprises the Chief Executive Officers of about 100 major corporations in Australia.  The main objective of the BCA is to formulate and promote the views of the Australian business society.</w:t>
      </w:r>
    </w:p>
  </w:footnote>
  <w:footnote w:id="3">
    <w:p>
      <w:pPr>
        <w:pStyle w:val="FootnoteText"/>
        <w:rPr/>
      </w:pPr>
      <w:r>
        <w:rPr>
          <w:rStyle w:val="FootnoteCharacters"/>
        </w:rPr>
        <w:footnoteRef/>
      </w:r>
      <w:r>
        <w:rPr/>
        <w:t xml:space="preserve"> </w:t>
      </w:r>
      <w:r>
        <w:rPr/>
        <w:t>A copy of the report is available from the BCA web site: www.bca.com.au.</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720" w:hanging="360"/>
      </w:pPr>
      <w:rPr>
        <w:rFonts w:ascii="Symbol" w:hAnsi="Symbol" w:cs="Symbol" w:hint="default"/>
      </w:r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numFmt w:val="bullet"/>
      <w:lvlText w:val=""/>
      <w:lvlJc w:val="start"/>
      <w:pPr>
        <w:tabs>
          <w:tab w:val="num" w:pos="360"/>
        </w:tabs>
        <w:ind w:start="720" w:hanging="360"/>
      </w:pPr>
      <w:rPr>
        <w:rFonts w:ascii="Symbol" w:hAnsi="Symbol" w:cs="Symbol" w:hint="default"/>
      </w:rPr>
    </w:lvl>
  </w:abstractNum>
  <w:abstractNum w:abstractNumId="4">
    <w:lvl w:ilvl="0">
      <w:numFmt w:val="bullet"/>
      <w:lvlText w:val=""/>
      <w:lvlJc w:val="start"/>
      <w:pPr>
        <w:tabs>
          <w:tab w:val="num" w:pos="360"/>
        </w:tabs>
        <w:ind w:start="720" w:hanging="360"/>
      </w:pPr>
      <w:rPr>
        <w:rFonts w:ascii="Symbol" w:hAnsi="Symbol" w:cs="Symbol" w:hint="default"/>
      </w:rPr>
    </w:lvl>
  </w:abstractNum>
  <w:abstractNum w:abstractNumId="5">
    <w:lvl w:ilvl="0">
      <w:numFmt w:val="bullet"/>
      <w:lvlText w:val=""/>
      <w:lvlJc w:val="start"/>
      <w:pPr>
        <w:tabs>
          <w:tab w:val="num" w:pos="360"/>
        </w:tabs>
        <w:ind w:start="720" w:hanging="360"/>
      </w:pPr>
      <w:rPr>
        <w:rFonts w:ascii="Symbol" w:hAnsi="Symbol" w:cs="Symbol" w:hint="default"/>
      </w:rPr>
    </w:lvl>
  </w:abstractNum>
  <w:abstractNum w:abstractNumId="6">
    <w:lvl w:ilvl="0">
      <w:numFmt w:val="bullet"/>
      <w:lvlText w:val=""/>
      <w:lvlJc w:val="start"/>
      <w:pPr>
        <w:tabs>
          <w:tab w:val="num" w:pos="360"/>
        </w:tabs>
        <w:ind w:start="720" w:hanging="360"/>
      </w:pPr>
      <w:rPr>
        <w:rFonts w:ascii="Symbol" w:hAnsi="Symbol" w:cs="Symbol" w:hint="default"/>
      </w:rPr>
    </w:lvl>
  </w:abstractNum>
  <w:abstractNum w:abstractNumId="7">
    <w:lvl w:ilvl="0">
      <w:numFmt w:val="bullet"/>
      <w:lvlText w:val=""/>
      <w:lvlJc w:val="start"/>
      <w:pPr>
        <w:tabs>
          <w:tab w:val="num" w:pos="360"/>
        </w:tabs>
        <w:ind w:start="72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St2z0">
    <w:name w:val="WW8NumSt2z0"/>
    <w:qFormat/>
    <w:rPr>
      <w:rFonts w:ascii="Arial" w:hAnsi="Arial" w:cs="Arial"/>
      <w:sz w:val="36"/>
    </w:rPr>
  </w:style>
  <w:style w:type="character" w:styleId="WW8NumSt3z0">
    <w:name w:val="WW8NumSt3z0"/>
    <w:qFormat/>
    <w:rPr>
      <w:rFonts w:ascii="Arial" w:hAnsi="Arial" w:cs="Arial"/>
      <w:sz w:val="32"/>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Style1"/>
    <w:basedOn w:val="Normal"/>
    <w:qFormat/>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2000-05-30T23:51:00Z</dcterms:created>
  <dc:creator>rmcgror</dc:creator>
  <dc:description/>
  <dc:language>en-CA</dc:language>
  <cp:lastModifiedBy>rmcgror</cp:lastModifiedBy>
  <cp:lastPrinted>2000-06-01T12:34:00Z</cp:lastPrinted>
  <dcterms:modified xsi:type="dcterms:W3CDTF">2000-06-01T00:24:00Z</dcterms:modified>
  <cp:revision>12</cp:revision>
  <dc:subject/>
  <dc:title>June 6 International Trade Commission Hearing on Recent Reforms in </dc:title>
</cp:coreProperties>
</file>