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LICENSING AGREEMENT</w:t>
      </w:r>
    </w:p>
    <w:p>
      <w:pPr>
        <w:pStyle w:val="VEBodyText"/>
        <w:jc w:val="center"/>
        <w:rPr/>
      </w:pPr>
      <w:r>
        <w:rPr>
          <w:b/>
          <w:bCs/>
        </w:rPr>
        <w:t>between</w:t>
      </w:r>
    </w:p>
    <w:p>
      <w:pPr>
        <w:pStyle w:val="VEBodyText"/>
        <w:jc w:val="center"/>
        <w:rPr>
          <w:b/>
          <w:bCs/>
        </w:rPr>
      </w:pPr>
      <w:r>
        <w:rPr>
          <w:b/>
          <w:bCs/>
        </w:rPr>
        <w:t>Accenture LLP</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spacing w:before="280" w:after="280"/>
            <w:jc w:val="center"/>
            <w:rPr>
              <w:rFonts w:cs="Times New Roman"/>
            </w:rPr>
          </w:pPr>
          <w:r>
            <w:fldChar w:fldCharType="begin"/>
          </w:r>
          <w:r>
            <w:rPr>
              <w:lang w:val="en-CA" w:eastAsia="en-CA"/>
            </w:rPr>
            <w:instrText xml:space="preserve"> TOC \x \o 1-2 </w:instrText>
          </w:r>
          <w:r>
            <w:rPr>
              <w:lang w:val="en-CA" w:eastAsia="en-CA"/>
            </w:rPr>
            <w:fldChar w:fldCharType="separate"/>
          </w:r>
          <w:r>
            <w:rPr>
              <w:lang w:val="en-CA" w:eastAsia="en-CA"/>
            </w:rPr>
            <w:t>ARTICLE I</w:t>
            <w:br/>
            <w:t>DEFINITIONS</w:t>
            <w:tab/>
          </w:r>
          <w:hyperlink w:anchor="__RefHeading___Toc515639037">
            <w:r>
              <w:rPr>
                <w:rStyle w:val="IndexLink"/>
                <w:lang w:val="en-CA" w:eastAsia="en-CA"/>
              </w:rPr>
              <w:t>1</w:t>
            </w:r>
          </w:hyperlink>
        </w:p>
        <w:p>
          <w:pPr>
            <w:pStyle w:val="TOC2"/>
            <w:rPr>
              <w:rFonts w:cs="Times New Roman"/>
              <w:lang w:val="en-CA" w:eastAsia="en-CA"/>
            </w:rPr>
          </w:pPr>
          <w:r>
            <w:rPr>
              <w:lang w:val="en-CA" w:eastAsia="en-CA"/>
            </w:rPr>
            <w:t>1.1</w:t>
          </w:r>
          <w:r>
            <w:rPr>
              <w:rFonts w:cs="Times New Roman"/>
              <w:lang w:val="en-CA" w:eastAsia="en-CA"/>
            </w:rPr>
            <w:tab/>
          </w:r>
          <w:r>
            <w:rPr>
              <w:lang w:val="en-CA" w:eastAsia="en-CA"/>
            </w:rPr>
            <w:t>Definitions</w:t>
            <w:tab/>
          </w:r>
          <w:hyperlink w:anchor="__RefHeading___Toc515639038">
            <w:r>
              <w:rPr>
                <w:rStyle w:val="IndexLink"/>
                <w:lang w:val="en-CA" w:eastAsia="en-CA"/>
              </w:rPr>
              <w:t>1</w:t>
            </w:r>
          </w:hyperlink>
        </w:p>
        <w:p>
          <w:pPr>
            <w:pStyle w:val="TOC2"/>
            <w:rPr>
              <w:rFonts w:cs="Times New Roman"/>
              <w:lang w:val="en-CA" w:eastAsia="en-CA"/>
            </w:rPr>
          </w:pPr>
          <w:r>
            <w:rPr>
              <w:lang w:val="en-CA" w:eastAsia="en-CA"/>
            </w:rPr>
            <w:t>1.2</w:t>
          </w:r>
          <w:r>
            <w:rPr>
              <w:rFonts w:cs="Times New Roman"/>
              <w:lang w:val="en-CA" w:eastAsia="en-CA"/>
            </w:rPr>
            <w:tab/>
          </w:r>
          <w:r>
            <w:rPr>
              <w:lang w:val="en-CA" w:eastAsia="en-CA"/>
            </w:rPr>
            <w:t>Cross References</w:t>
            <w:tab/>
          </w:r>
          <w:hyperlink w:anchor="__RefHeading___Toc515639039">
            <w:r>
              <w:rPr>
                <w:rStyle w:val="IndexLink"/>
                <w:lang w:val="en-CA" w:eastAsia="en-CA"/>
              </w:rPr>
              <w:t>5</w:t>
            </w:r>
          </w:hyperlink>
        </w:p>
        <w:p>
          <w:pPr>
            <w:pStyle w:val="TOC2"/>
            <w:rPr>
              <w:rFonts w:cs="Times New Roman"/>
              <w:lang w:val="en-CA" w:eastAsia="en-CA"/>
            </w:rPr>
          </w:pPr>
          <w:r>
            <w:rPr>
              <w:lang w:val="en-CA" w:eastAsia="en-CA"/>
            </w:rPr>
            <w:t>1.3</w:t>
          </w:r>
          <w:r>
            <w:rPr>
              <w:rFonts w:cs="Times New Roman"/>
              <w:lang w:val="en-CA" w:eastAsia="en-CA"/>
            </w:rPr>
            <w:tab/>
          </w:r>
          <w:r>
            <w:rPr>
              <w:lang w:val="en-CA" w:eastAsia="en-CA"/>
            </w:rPr>
            <w:t>Rules of Construction</w:t>
            <w:tab/>
          </w:r>
          <w:hyperlink w:anchor="__RefHeading___Toc515639040">
            <w:r>
              <w:rPr>
                <w:rStyle w:val="IndexLink"/>
                <w:lang w:val="en-CA" w:eastAsia="en-CA"/>
              </w:rPr>
              <w:t>6</w:t>
            </w:r>
          </w:hyperlink>
        </w:p>
        <w:p>
          <w:pPr>
            <w:pStyle w:val="TOC1"/>
            <w:rPr>
              <w:rFonts w:cs="Times New Roman"/>
            </w:rPr>
          </w:pPr>
          <w:r>
            <w:rPr/>
            <w:t>ARTICLE II</w:t>
            <w:br/>
            <w:t>ENRON DATA FEED</w:t>
            <w:tab/>
          </w:r>
          <w:hyperlink w:anchor="__RefHeading___Toc515639041">
            <w:r>
              <w:rPr>
                <w:rStyle w:val="IndexLink"/>
              </w:rPr>
              <w:t>6</w:t>
            </w:r>
          </w:hyperlink>
        </w:p>
        <w:p>
          <w:pPr>
            <w:pStyle w:val="TOC2"/>
            <w:rPr>
              <w:rFonts w:cs="Times New Roman"/>
              <w:lang w:val="en-CA" w:eastAsia="en-CA"/>
            </w:rPr>
          </w:pPr>
          <w:r>
            <w:rPr>
              <w:lang w:val="en-CA" w:eastAsia="en-CA"/>
            </w:rPr>
            <w:t>2.1</w:t>
          </w:r>
          <w:r>
            <w:rPr>
              <w:rFonts w:cs="Times New Roman"/>
              <w:lang w:val="en-CA" w:eastAsia="en-CA"/>
            </w:rPr>
            <w:tab/>
          </w:r>
          <w:r>
            <w:rPr>
              <w:lang w:val="en-CA" w:eastAsia="en-CA"/>
            </w:rPr>
            <w:t>Development, Testing and Acceptance of the Enron Data Feed.</w:t>
            <w:tab/>
          </w:r>
          <w:hyperlink w:anchor="__RefHeading___Toc515639042">
            <w:r>
              <w:rPr>
                <w:rStyle w:val="IndexLink"/>
                <w:lang w:val="en-CA" w:eastAsia="en-CA"/>
              </w:rPr>
              <w:t>6</w:t>
            </w:r>
          </w:hyperlink>
        </w:p>
        <w:p>
          <w:pPr>
            <w:pStyle w:val="TOC2"/>
            <w:rPr>
              <w:rFonts w:cs="Times New Roman"/>
              <w:lang w:val="en-CA" w:eastAsia="en-CA"/>
            </w:rPr>
          </w:pPr>
          <w:r>
            <w:rPr>
              <w:lang w:val="en-CA" w:eastAsia="en-CA"/>
            </w:rPr>
            <w:t>2.2</w:t>
          </w:r>
          <w:r>
            <w:rPr>
              <w:rFonts w:cs="Times New Roman"/>
              <w:lang w:val="en-CA" w:eastAsia="en-CA"/>
            </w:rPr>
            <w:tab/>
          </w:r>
          <w:r>
            <w:rPr>
              <w:lang w:val="en-CA" w:eastAsia="en-CA"/>
            </w:rPr>
            <w:t>Operation and Modification to the Enron Data Feed.</w:t>
            <w:tab/>
          </w:r>
          <w:hyperlink w:anchor="__RefHeading___Toc515639043">
            <w:r>
              <w:rPr>
                <w:rStyle w:val="IndexLink"/>
                <w:lang w:val="en-CA" w:eastAsia="en-CA"/>
              </w:rPr>
              <w:t>7</w:t>
            </w:r>
          </w:hyperlink>
        </w:p>
        <w:p>
          <w:pPr>
            <w:pStyle w:val="TOC2"/>
            <w:rPr>
              <w:rFonts w:cs="Times New Roman"/>
              <w:lang w:val="en-CA" w:eastAsia="en-CA"/>
            </w:rPr>
          </w:pPr>
          <w:r>
            <w:rPr>
              <w:lang w:val="en-CA" w:eastAsia="en-CA"/>
            </w:rPr>
            <w:t>2.3</w:t>
          </w:r>
          <w:r>
            <w:rPr>
              <w:rFonts w:cs="Times New Roman"/>
              <w:lang w:val="en-CA" w:eastAsia="en-CA"/>
            </w:rPr>
            <w:tab/>
          </w:r>
          <w:r>
            <w:rPr>
              <w:lang w:val="en-CA" w:eastAsia="en-CA"/>
            </w:rPr>
            <w:t>Provision of Customer-Specific Transaction Data.</w:t>
            <w:tab/>
          </w:r>
          <w:hyperlink w:anchor="__RefHeading___Toc515639044">
            <w:r>
              <w:rPr>
                <w:rStyle w:val="IndexLink"/>
                <w:lang w:val="en-CA" w:eastAsia="en-CA"/>
              </w:rPr>
              <w:t>7</w:t>
            </w:r>
          </w:hyperlink>
        </w:p>
        <w:p>
          <w:pPr>
            <w:pStyle w:val="TOC2"/>
            <w:rPr>
              <w:rFonts w:cs="Times New Roman"/>
              <w:lang w:val="en-CA" w:eastAsia="en-CA"/>
            </w:rPr>
          </w:pPr>
          <w:r>
            <w:rPr>
              <w:lang w:val="en-CA" w:eastAsia="en-CA"/>
            </w:rPr>
            <w:t>2.4</w:t>
          </w:r>
          <w:r>
            <w:rPr>
              <w:rFonts w:cs="Times New Roman"/>
              <w:lang w:val="en-CA" w:eastAsia="en-CA"/>
            </w:rPr>
            <w:tab/>
          </w:r>
          <w:r>
            <w:rPr>
              <w:lang w:val="en-CA" w:eastAsia="en-CA"/>
            </w:rPr>
            <w:t xml:space="preserve">Accenture’s Storage of </w:t>
          </w:r>
          <w:r>
            <w:rPr>
              <w:b/>
              <w:color w:val="FF6600"/>
              <w:lang w:val="en-CA" w:eastAsia="en-CA"/>
            </w:rPr>
            <w:t>Customer-Specific Transaction Data</w:t>
          </w:r>
          <w:r>
            <w:rPr>
              <w:lang w:val="en-CA" w:eastAsia="en-CA"/>
            </w:rPr>
            <w:t>.</w:t>
            <w:tab/>
          </w:r>
          <w:hyperlink w:anchor="__RefHeading___Toc515639045">
            <w:r>
              <w:rPr>
                <w:rStyle w:val="IndexLink"/>
                <w:lang w:val="en-CA" w:eastAsia="en-CA"/>
              </w:rPr>
              <w:t>8</w:t>
            </w:r>
          </w:hyperlink>
        </w:p>
        <w:p>
          <w:pPr>
            <w:pStyle w:val="TOC2"/>
            <w:rPr>
              <w:rFonts w:cs="Times New Roman"/>
              <w:lang w:val="en-CA" w:eastAsia="en-CA"/>
            </w:rPr>
          </w:pPr>
          <w:r>
            <w:rPr>
              <w:lang w:val="en-CA" w:eastAsia="en-CA"/>
            </w:rPr>
            <w:t>2.5</w:t>
          </w:r>
          <w:r>
            <w:rPr>
              <w:rFonts w:cs="Times New Roman"/>
              <w:lang w:val="en-CA" w:eastAsia="en-CA"/>
            </w:rPr>
            <w:tab/>
          </w:r>
          <w:r>
            <w:rPr>
              <w:lang w:val="en-CA" w:eastAsia="en-CA"/>
            </w:rPr>
            <w:t>Service Levels Related to the Enron Data Feed.</w:t>
            <w:tab/>
          </w:r>
          <w:hyperlink w:anchor="__RefHeading___Toc515639046">
            <w:r>
              <w:rPr>
                <w:rStyle w:val="IndexLink"/>
                <w:lang w:val="en-CA" w:eastAsia="en-CA"/>
              </w:rPr>
              <w:t>8</w:t>
            </w:r>
          </w:hyperlink>
        </w:p>
        <w:p>
          <w:pPr>
            <w:pStyle w:val="TOC1"/>
            <w:rPr>
              <w:rFonts w:cs="Times New Roman"/>
            </w:rPr>
          </w:pPr>
          <w:r>
            <w:rPr/>
            <w:t>ARTICLE III</w:t>
            <w:br/>
            <w:t>LICENSE TO USE DATA AND SOFTWARE</w:t>
            <w:tab/>
          </w:r>
          <w:hyperlink w:anchor="__RefHeading___Toc515639047">
            <w:r>
              <w:rPr>
                <w:rStyle w:val="IndexLink"/>
              </w:rPr>
              <w:t>9</w:t>
            </w:r>
          </w:hyperlink>
        </w:p>
        <w:p>
          <w:pPr>
            <w:pStyle w:val="TOC2"/>
            <w:rPr>
              <w:rFonts w:cs="Times New Roman"/>
              <w:lang w:val="en-CA" w:eastAsia="en-CA"/>
            </w:rPr>
          </w:pPr>
          <w:r>
            <w:rPr>
              <w:lang w:val="en-CA" w:eastAsia="en-CA"/>
            </w:rPr>
            <w:t>3.1</w:t>
          </w:r>
          <w:r>
            <w:rPr>
              <w:rFonts w:cs="Times New Roman"/>
              <w:lang w:val="en-CA" w:eastAsia="en-CA"/>
            </w:rPr>
            <w:tab/>
          </w:r>
          <w:r>
            <w:rPr>
              <w:lang w:val="en-CA" w:eastAsia="en-CA"/>
            </w:rPr>
            <w:t xml:space="preserve">License to Use </w:t>
          </w:r>
          <w:r>
            <w:rPr>
              <w:b/>
              <w:color w:val="FF6600"/>
              <w:lang w:val="en-CA" w:eastAsia="en-CA"/>
            </w:rPr>
            <w:t>Customer-Specific Transaction Data</w:t>
          </w:r>
          <w:r>
            <w:rPr>
              <w:lang w:val="en-CA" w:eastAsia="en-CA"/>
            </w:rPr>
            <w:t>.</w:t>
            <w:tab/>
          </w:r>
          <w:hyperlink w:anchor="__RefHeading___Toc515639048">
            <w:r>
              <w:rPr>
                <w:rStyle w:val="IndexLink"/>
                <w:lang w:val="en-CA" w:eastAsia="en-CA"/>
              </w:rPr>
              <w:t>9</w:t>
            </w:r>
          </w:hyperlink>
        </w:p>
        <w:p>
          <w:pPr>
            <w:pStyle w:val="TOC2"/>
            <w:rPr>
              <w:rFonts w:cs="Times New Roman"/>
              <w:lang w:val="en-CA" w:eastAsia="en-CA"/>
            </w:rPr>
          </w:pPr>
          <w:r>
            <w:rPr>
              <w:lang w:val="en-CA" w:eastAsia="en-CA"/>
            </w:rPr>
            <w:t>3.2</w:t>
          </w:r>
          <w:r>
            <w:rPr>
              <w:rFonts w:cs="Times New Roman"/>
              <w:lang w:val="en-CA" w:eastAsia="en-CA"/>
            </w:rPr>
            <w:tab/>
          </w:r>
          <w:r>
            <w:rPr>
              <w:lang w:val="en-CA" w:eastAsia="en-CA"/>
            </w:rPr>
            <w:t xml:space="preserve">Restrictions on Accenture’s Use of </w:t>
          </w:r>
          <w:r>
            <w:rPr>
              <w:b/>
              <w:color w:val="FF6600"/>
              <w:lang w:val="en-CA" w:eastAsia="en-CA"/>
            </w:rPr>
            <w:t>Customer-Specific Transaction Data</w:t>
          </w:r>
          <w:r>
            <w:rPr>
              <w:lang w:val="en-CA" w:eastAsia="en-CA"/>
            </w:rPr>
            <w:t>.</w:t>
            <w:tab/>
          </w:r>
          <w:hyperlink w:anchor="__RefHeading___Toc515639049">
            <w:r>
              <w:rPr>
                <w:rStyle w:val="IndexLink"/>
                <w:lang w:val="en-CA" w:eastAsia="en-CA"/>
              </w:rPr>
              <w:t>9</w:t>
            </w:r>
          </w:hyperlink>
        </w:p>
        <w:p>
          <w:pPr>
            <w:pStyle w:val="TOC2"/>
            <w:rPr>
              <w:rFonts w:cs="Times New Roman"/>
              <w:lang w:val="en-CA" w:eastAsia="en-CA"/>
            </w:rPr>
          </w:pPr>
          <w:r>
            <w:rPr>
              <w:lang w:val="en-CA" w:eastAsia="en-CA"/>
            </w:rPr>
            <w:t>3.3</w:t>
          </w:r>
          <w:r>
            <w:rPr>
              <w:rFonts w:cs="Times New Roman"/>
              <w:lang w:val="en-CA" w:eastAsia="en-CA"/>
            </w:rPr>
            <w:tab/>
          </w:r>
          <w:r>
            <w:rPr>
              <w:lang w:val="en-CA" w:eastAsia="en-CA"/>
            </w:rPr>
            <w:t>License to Use SmartClient Software.</w:t>
            <w:tab/>
          </w:r>
          <w:hyperlink w:anchor="__RefHeading___Toc515639050">
            <w:r>
              <w:rPr>
                <w:rStyle w:val="IndexLink"/>
                <w:lang w:val="en-CA" w:eastAsia="en-CA"/>
              </w:rPr>
              <w:t>9</w:t>
            </w:r>
          </w:hyperlink>
        </w:p>
        <w:p>
          <w:pPr>
            <w:pStyle w:val="TOC2"/>
            <w:rPr>
              <w:rFonts w:cs="Times New Roman"/>
              <w:lang w:val="en-CA" w:eastAsia="en-CA"/>
            </w:rPr>
          </w:pPr>
          <w:r>
            <w:rPr>
              <w:lang w:val="en-CA" w:eastAsia="en-CA"/>
            </w:rPr>
            <w:t>3.4</w:t>
          </w:r>
          <w:r>
            <w:rPr>
              <w:rFonts w:cs="Times New Roman"/>
              <w:lang w:val="en-CA" w:eastAsia="en-CA"/>
            </w:rPr>
            <w:tab/>
          </w:r>
          <w:r>
            <w:rPr>
              <w:lang w:val="en-CA" w:eastAsia="en-CA"/>
            </w:rPr>
            <w:t>Enron’s Updates to the SmartClient Software</w:t>
            <w:tab/>
          </w:r>
          <w:hyperlink w:anchor="__RefHeading___Toc515639051">
            <w:r>
              <w:rPr>
                <w:rStyle w:val="IndexLink"/>
                <w:lang w:val="en-CA" w:eastAsia="en-CA"/>
              </w:rPr>
              <w:t>10</w:t>
            </w:r>
          </w:hyperlink>
        </w:p>
        <w:p>
          <w:pPr>
            <w:pStyle w:val="TOC2"/>
            <w:rPr>
              <w:rFonts w:cs="Times New Roman"/>
              <w:lang w:val="en-CA" w:eastAsia="en-CA"/>
            </w:rPr>
          </w:pPr>
          <w:r>
            <w:rPr>
              <w:lang w:val="en-CA" w:eastAsia="en-CA"/>
            </w:rPr>
            <w:t>3.5</w:t>
          </w:r>
          <w:r>
            <w:rPr>
              <w:rFonts w:cs="Times New Roman"/>
              <w:lang w:val="en-CA" w:eastAsia="en-CA"/>
            </w:rPr>
            <w:tab/>
          </w:r>
          <w:r>
            <w:rPr>
              <w:lang w:val="en-CA" w:eastAsia="en-CA"/>
            </w:rPr>
            <w:t>Additional License Rights.</w:t>
            <w:tab/>
          </w:r>
          <w:hyperlink w:anchor="__RefHeading___Toc515639052">
            <w:r>
              <w:rPr>
                <w:rStyle w:val="IndexLink"/>
                <w:lang w:val="en-CA" w:eastAsia="en-CA"/>
              </w:rPr>
              <w:t>10</w:t>
            </w:r>
          </w:hyperlink>
        </w:p>
        <w:p>
          <w:pPr>
            <w:pStyle w:val="TOC2"/>
            <w:rPr>
              <w:rFonts w:cs="Times New Roman"/>
              <w:lang w:val="en-CA" w:eastAsia="en-CA"/>
            </w:rPr>
          </w:pPr>
          <w:r>
            <w:rPr>
              <w:lang w:val="en-CA" w:eastAsia="en-CA"/>
            </w:rPr>
            <w:t>3.6</w:t>
          </w:r>
          <w:r>
            <w:rPr>
              <w:rFonts w:cs="Times New Roman"/>
              <w:lang w:val="en-CA" w:eastAsia="en-CA"/>
            </w:rPr>
            <w:tab/>
          </w:r>
          <w:r>
            <w:rPr>
              <w:lang w:val="en-CA" w:eastAsia="en-CA"/>
            </w:rPr>
            <w:t>Limitations of Liability.</w:t>
            <w:tab/>
          </w:r>
          <w:hyperlink w:anchor="__RefHeading___Toc515639053">
            <w:r>
              <w:rPr>
                <w:rStyle w:val="IndexLink"/>
                <w:lang w:val="en-CA" w:eastAsia="en-CA"/>
              </w:rPr>
              <w:t>10</w:t>
            </w:r>
          </w:hyperlink>
        </w:p>
        <w:p>
          <w:pPr>
            <w:pStyle w:val="TOC1"/>
            <w:rPr>
              <w:rFonts w:cs="Times New Roman"/>
            </w:rPr>
          </w:pPr>
          <w:r>
            <w:rPr/>
            <w:t>ARTICLE IV</w:t>
            <w:br/>
            <w:t>EXCLUSIVITY; MARKETING</w:t>
            <w:tab/>
          </w:r>
          <w:hyperlink w:anchor="__RefHeading___Toc515639054">
            <w:r>
              <w:rPr>
                <w:rStyle w:val="IndexLink"/>
              </w:rPr>
              <w:t>10</w:t>
            </w:r>
          </w:hyperlink>
        </w:p>
        <w:p>
          <w:pPr>
            <w:pStyle w:val="TOC2"/>
            <w:rPr>
              <w:rFonts w:cs="Times New Roman"/>
              <w:lang w:val="en-CA" w:eastAsia="en-CA"/>
            </w:rPr>
          </w:pPr>
          <w:r>
            <w:rPr>
              <w:lang w:val="en-CA" w:eastAsia="en-CA"/>
            </w:rPr>
            <w:t>4.1</w:t>
          </w:r>
          <w:r>
            <w:rPr>
              <w:rFonts w:cs="Times New Roman"/>
              <w:lang w:val="en-CA" w:eastAsia="en-CA"/>
            </w:rPr>
            <w:tab/>
          </w:r>
          <w:r>
            <w:rPr>
              <w:lang w:val="en-CA" w:eastAsia="en-CA"/>
            </w:rPr>
            <w:t>Exclusivity Obligations of Enron.</w:t>
            <w:tab/>
          </w:r>
          <w:hyperlink w:anchor="__RefHeading___Toc515639055">
            <w:r>
              <w:rPr>
                <w:rStyle w:val="IndexLink"/>
                <w:lang w:val="en-CA" w:eastAsia="en-CA"/>
              </w:rPr>
              <w:t>10</w:t>
            </w:r>
          </w:hyperlink>
        </w:p>
        <w:p>
          <w:pPr>
            <w:pStyle w:val="TOC2"/>
            <w:rPr>
              <w:rFonts w:cs="Times New Roman"/>
              <w:lang w:val="en-CA" w:eastAsia="en-CA"/>
            </w:rPr>
          </w:pPr>
          <w:r>
            <w:rPr>
              <w:lang w:val="en-CA" w:eastAsia="en-CA"/>
            </w:rPr>
            <w:t>4.2</w:t>
          </w:r>
          <w:r>
            <w:rPr>
              <w:rFonts w:cs="Times New Roman"/>
              <w:lang w:val="en-CA" w:eastAsia="en-CA"/>
            </w:rPr>
            <w:tab/>
          </w:r>
          <w:r>
            <w:rPr>
              <w:lang w:val="en-CA" w:eastAsia="en-CA"/>
            </w:rPr>
            <w:t>Accenture’s Marketing of the TSH Services.</w:t>
            <w:tab/>
          </w:r>
          <w:hyperlink w:anchor="__RefHeading___Toc515639056">
            <w:r>
              <w:rPr>
                <w:rStyle w:val="IndexLink"/>
                <w:lang w:val="en-CA" w:eastAsia="en-CA"/>
              </w:rPr>
              <w:t>11</w:t>
            </w:r>
          </w:hyperlink>
        </w:p>
        <w:p>
          <w:pPr>
            <w:pStyle w:val="TOC2"/>
            <w:rPr>
              <w:rFonts w:cs="Times New Roman"/>
              <w:lang w:val="en-CA" w:eastAsia="en-CA"/>
            </w:rPr>
          </w:pPr>
          <w:r>
            <w:rPr>
              <w:lang w:val="en-CA" w:eastAsia="en-CA"/>
            </w:rPr>
            <w:t>4.3</w:t>
          </w:r>
          <w:r>
            <w:rPr>
              <w:rFonts w:cs="Times New Roman"/>
              <w:lang w:val="en-CA" w:eastAsia="en-CA"/>
            </w:rPr>
            <w:tab/>
          </w:r>
          <w:r>
            <w:rPr>
              <w:lang w:val="en-CA" w:eastAsia="en-CA"/>
            </w:rPr>
            <w:t>Publicity.</w:t>
            <w:tab/>
          </w:r>
          <w:hyperlink w:anchor="__RefHeading___Toc515639057">
            <w:r>
              <w:rPr>
                <w:rStyle w:val="IndexLink"/>
                <w:lang w:val="en-CA" w:eastAsia="en-CA"/>
              </w:rPr>
              <w:t>12</w:t>
            </w:r>
          </w:hyperlink>
        </w:p>
        <w:p>
          <w:pPr>
            <w:pStyle w:val="TOC2"/>
            <w:rPr>
              <w:rFonts w:cs="Times New Roman"/>
              <w:lang w:val="en-CA" w:eastAsia="en-CA"/>
            </w:rPr>
          </w:pPr>
          <w:r>
            <w:rPr>
              <w:lang w:val="en-CA" w:eastAsia="en-CA"/>
            </w:rPr>
            <w:t>4.4</w:t>
          </w:r>
          <w:r>
            <w:rPr>
              <w:rFonts w:cs="Times New Roman"/>
              <w:lang w:val="en-CA" w:eastAsia="en-CA"/>
            </w:rPr>
            <w:tab/>
          </w:r>
          <w:r>
            <w:rPr>
              <w:lang w:val="en-CA" w:eastAsia="en-CA"/>
            </w:rPr>
            <w:t>No Use of Marks</w:t>
            <w:tab/>
          </w:r>
          <w:hyperlink w:anchor="__RefHeading___Toc515639058">
            <w:r>
              <w:rPr>
                <w:rStyle w:val="IndexLink"/>
                <w:lang w:val="en-CA" w:eastAsia="en-CA"/>
              </w:rPr>
              <w:t>12</w:t>
            </w:r>
          </w:hyperlink>
        </w:p>
        <w:p>
          <w:pPr>
            <w:pStyle w:val="TOC2"/>
            <w:rPr>
              <w:rFonts w:cs="Times New Roman"/>
              <w:lang w:val="en-CA" w:eastAsia="en-CA"/>
            </w:rPr>
          </w:pPr>
          <w:r>
            <w:rPr>
              <w:lang w:val="en-CA" w:eastAsia="en-CA"/>
            </w:rPr>
            <w:t>4.5</w:t>
          </w:r>
          <w:r>
            <w:rPr>
              <w:rFonts w:cs="Times New Roman"/>
              <w:lang w:val="en-CA" w:eastAsia="en-CA"/>
            </w:rPr>
            <w:tab/>
          </w:r>
          <w:r>
            <w:rPr>
              <w:lang w:val="en-CA" w:eastAsia="en-CA"/>
            </w:rPr>
            <w:t>Strategic Enron Transactions.</w:t>
            <w:tab/>
          </w:r>
          <w:hyperlink w:anchor="__RefHeading___Toc515639059">
            <w:r>
              <w:rPr>
                <w:rStyle w:val="IndexLink"/>
                <w:lang w:val="en-CA" w:eastAsia="en-CA"/>
              </w:rPr>
              <w:t>12</w:t>
            </w:r>
          </w:hyperlink>
        </w:p>
        <w:p>
          <w:pPr>
            <w:pStyle w:val="TOC1"/>
            <w:rPr>
              <w:rFonts w:cs="Times New Roman"/>
            </w:rPr>
          </w:pPr>
          <w:r>
            <w:rPr/>
            <w:t>ARTICLE V</w:t>
            <w:br/>
            <w:t>PAYMENTS TERMS</w:t>
            <w:tab/>
          </w:r>
          <w:hyperlink w:anchor="__RefHeading___Toc515639060">
            <w:r>
              <w:rPr>
                <w:rStyle w:val="IndexLink"/>
              </w:rPr>
              <w:t>13</w:t>
            </w:r>
          </w:hyperlink>
        </w:p>
        <w:p>
          <w:pPr>
            <w:pStyle w:val="TOC2"/>
            <w:rPr>
              <w:rFonts w:cs="Times New Roman"/>
              <w:lang w:val="en-CA" w:eastAsia="en-CA"/>
            </w:rPr>
          </w:pPr>
          <w:r>
            <w:rPr>
              <w:lang w:val="en-CA" w:eastAsia="en-CA"/>
            </w:rPr>
            <w:t>5.1</w:t>
          </w:r>
          <w:r>
            <w:rPr>
              <w:rFonts w:cs="Times New Roman"/>
              <w:lang w:val="en-CA" w:eastAsia="en-CA"/>
            </w:rPr>
            <w:tab/>
          </w:r>
          <w:r>
            <w:rPr>
              <w:lang w:val="en-CA" w:eastAsia="en-CA"/>
            </w:rPr>
            <w:t>Accenture Payments</w:t>
            <w:tab/>
          </w:r>
          <w:hyperlink w:anchor="__RefHeading___Toc515639061">
            <w:r>
              <w:rPr>
                <w:rStyle w:val="IndexLink"/>
                <w:lang w:val="en-CA" w:eastAsia="en-CA"/>
              </w:rPr>
              <w:t>13</w:t>
            </w:r>
          </w:hyperlink>
        </w:p>
        <w:p>
          <w:pPr>
            <w:pStyle w:val="TOC2"/>
            <w:rPr>
              <w:rFonts w:cs="Times New Roman"/>
              <w:lang w:val="en-CA" w:eastAsia="en-CA"/>
            </w:rPr>
          </w:pPr>
          <w:r>
            <w:rPr>
              <w:lang w:val="en-CA" w:eastAsia="en-CA"/>
            </w:rPr>
            <w:t>5.2</w:t>
          </w:r>
          <w:r>
            <w:rPr>
              <w:rFonts w:cs="Times New Roman"/>
              <w:lang w:val="en-CA" w:eastAsia="en-CA"/>
            </w:rPr>
            <w:tab/>
          </w:r>
          <w:r>
            <w:rPr>
              <w:lang w:val="en-CA" w:eastAsia="en-CA"/>
            </w:rPr>
            <w:t>Accenture Payment Terms.</w:t>
            <w:tab/>
          </w:r>
          <w:hyperlink w:anchor="__RefHeading___Toc515639062">
            <w:r>
              <w:rPr>
                <w:rStyle w:val="IndexLink"/>
                <w:lang w:val="en-CA" w:eastAsia="en-CA"/>
              </w:rPr>
              <w:t>13</w:t>
            </w:r>
          </w:hyperlink>
        </w:p>
        <w:p>
          <w:pPr>
            <w:pStyle w:val="TOC2"/>
            <w:rPr>
              <w:rFonts w:cs="Times New Roman"/>
              <w:lang w:val="en-CA" w:eastAsia="en-CA"/>
            </w:rPr>
          </w:pPr>
          <w:r>
            <w:rPr>
              <w:lang w:val="en-CA" w:eastAsia="en-CA"/>
            </w:rPr>
            <w:t>5.3</w:t>
          </w:r>
          <w:r>
            <w:rPr>
              <w:rFonts w:cs="Times New Roman"/>
              <w:lang w:val="en-CA" w:eastAsia="en-CA"/>
            </w:rPr>
            <w:tab/>
          </w:r>
          <w:r>
            <w:rPr>
              <w:lang w:val="en-CA" w:eastAsia="en-CA"/>
            </w:rPr>
            <w:t>Enron Payment Terms.</w:t>
            <w:tab/>
          </w:r>
          <w:hyperlink w:anchor="__RefHeading___Toc515639063">
            <w:r>
              <w:rPr>
                <w:rStyle w:val="IndexLink"/>
                <w:lang w:val="en-CA" w:eastAsia="en-CA"/>
              </w:rPr>
              <w:t>14</w:t>
            </w:r>
          </w:hyperlink>
        </w:p>
        <w:p>
          <w:pPr>
            <w:pStyle w:val="TOC2"/>
            <w:rPr>
              <w:rFonts w:cs="Times New Roman"/>
              <w:lang w:val="en-CA" w:eastAsia="en-CA"/>
            </w:rPr>
          </w:pPr>
          <w:r>
            <w:rPr>
              <w:lang w:val="en-CA" w:eastAsia="en-CA"/>
            </w:rPr>
            <w:t>5.4</w:t>
          </w:r>
          <w:r>
            <w:rPr>
              <w:rFonts w:cs="Times New Roman"/>
              <w:lang w:val="en-CA" w:eastAsia="en-CA"/>
            </w:rPr>
            <w:tab/>
          </w:r>
          <w:r>
            <w:rPr>
              <w:lang w:val="en-CA" w:eastAsia="en-CA"/>
            </w:rPr>
            <w:t>Audit Rights.</w:t>
            <w:tab/>
          </w:r>
          <w:hyperlink w:anchor="__RefHeading___Toc515639064">
            <w:r>
              <w:rPr>
                <w:rStyle w:val="IndexLink"/>
                <w:lang w:val="en-CA" w:eastAsia="en-CA"/>
              </w:rPr>
              <w:t>14</w:t>
            </w:r>
          </w:hyperlink>
        </w:p>
        <w:p>
          <w:pPr>
            <w:pStyle w:val="TOC2"/>
            <w:rPr>
              <w:rFonts w:cs="Times New Roman"/>
              <w:lang w:val="en-CA" w:eastAsia="en-CA"/>
            </w:rPr>
          </w:pPr>
          <w:r>
            <w:rPr>
              <w:lang w:val="en-CA" w:eastAsia="en-CA"/>
            </w:rPr>
            <w:t>5.5</w:t>
          </w:r>
          <w:r>
            <w:rPr>
              <w:rFonts w:cs="Times New Roman"/>
              <w:lang w:val="en-CA" w:eastAsia="en-CA"/>
            </w:rPr>
            <w:tab/>
          </w:r>
          <w:r>
            <w:rPr>
              <w:lang w:val="en-CA" w:eastAsia="en-CA"/>
            </w:rPr>
            <w:t>Taxes</w:t>
            <w:tab/>
          </w:r>
          <w:hyperlink w:anchor="__RefHeading___Toc515639065">
            <w:r>
              <w:rPr>
                <w:rStyle w:val="IndexLink"/>
                <w:lang w:val="en-CA" w:eastAsia="en-CA"/>
              </w:rPr>
              <w:t>15</w:t>
            </w:r>
          </w:hyperlink>
        </w:p>
        <w:p>
          <w:pPr>
            <w:pStyle w:val="TOC1"/>
            <w:rPr>
              <w:rFonts w:cs="Times New Roman"/>
            </w:rPr>
          </w:pPr>
          <w:r>
            <w:rPr/>
            <w:t>ARTICLE VI</w:t>
            <w:br/>
            <w:t>PROTECTION OF PROPRIETARY RIGHTS</w:t>
            <w:tab/>
          </w:r>
          <w:hyperlink w:anchor="__RefHeading___Toc515639066">
            <w:r>
              <w:rPr>
                <w:rStyle w:val="IndexLink"/>
              </w:rPr>
              <w:t>15</w:t>
            </w:r>
          </w:hyperlink>
        </w:p>
        <w:p>
          <w:pPr>
            <w:pStyle w:val="TOC2"/>
            <w:rPr>
              <w:rFonts w:cs="Times New Roman"/>
              <w:lang w:val="en-CA" w:eastAsia="en-CA"/>
            </w:rPr>
          </w:pPr>
          <w:r>
            <w:rPr>
              <w:lang w:val="en-CA" w:eastAsia="en-CA"/>
            </w:rPr>
            <w:t>6.1</w:t>
          </w:r>
          <w:r>
            <w:rPr>
              <w:rFonts w:cs="Times New Roman"/>
              <w:lang w:val="en-CA" w:eastAsia="en-CA"/>
            </w:rPr>
            <w:tab/>
          </w:r>
          <w:r>
            <w:rPr>
              <w:lang w:val="en-CA" w:eastAsia="en-CA"/>
            </w:rPr>
            <w:t>Confidentiality.</w:t>
            <w:tab/>
          </w:r>
          <w:hyperlink w:anchor="__RefHeading___Toc515639067">
            <w:r>
              <w:rPr>
                <w:rStyle w:val="IndexLink"/>
                <w:lang w:val="en-CA" w:eastAsia="en-CA"/>
              </w:rPr>
              <w:t>15</w:t>
            </w:r>
          </w:hyperlink>
        </w:p>
        <w:p>
          <w:pPr>
            <w:pStyle w:val="TOC2"/>
            <w:rPr>
              <w:rFonts w:cs="Times New Roman"/>
              <w:lang w:val="en-CA" w:eastAsia="en-CA"/>
            </w:rPr>
          </w:pPr>
          <w:r>
            <w:rPr>
              <w:lang w:val="en-CA" w:eastAsia="en-CA"/>
            </w:rPr>
            <w:t>6.2</w:t>
          </w:r>
          <w:r>
            <w:rPr>
              <w:rFonts w:cs="Times New Roman"/>
              <w:lang w:val="en-CA" w:eastAsia="en-CA"/>
            </w:rPr>
            <w:tab/>
          </w:r>
          <w:r>
            <w:rPr>
              <w:lang w:val="en-CA" w:eastAsia="en-CA"/>
            </w:rPr>
            <w:t xml:space="preserve">Ownership of the </w:t>
          </w:r>
          <w:r>
            <w:rPr>
              <w:b/>
              <w:color w:val="FF6600"/>
              <w:lang w:val="en-CA" w:eastAsia="en-CA"/>
            </w:rPr>
            <w:t>Customer-Specific Transaction Data</w:t>
          </w:r>
          <w:r>
            <w:rPr>
              <w:lang w:val="en-CA" w:eastAsia="en-CA"/>
            </w:rPr>
            <w:t xml:space="preserve"> and the Software.</w:t>
            <w:tab/>
          </w:r>
          <w:hyperlink w:anchor="__RefHeading___Toc515639068">
            <w:r>
              <w:rPr>
                <w:rStyle w:val="IndexLink"/>
                <w:lang w:val="en-CA" w:eastAsia="en-CA"/>
              </w:rPr>
              <w:t>16</w:t>
            </w:r>
          </w:hyperlink>
        </w:p>
        <w:p>
          <w:pPr>
            <w:pStyle w:val="TOC2"/>
            <w:rPr>
              <w:rFonts w:cs="Times New Roman"/>
              <w:lang w:val="en-CA" w:eastAsia="en-CA"/>
            </w:rPr>
          </w:pPr>
          <w:r>
            <w:rPr>
              <w:lang w:val="en-CA" w:eastAsia="en-CA"/>
            </w:rPr>
            <w:t>6.3</w:t>
          </w:r>
          <w:r>
            <w:rPr>
              <w:rFonts w:cs="Times New Roman"/>
              <w:lang w:val="en-CA" w:eastAsia="en-CA"/>
            </w:rPr>
            <w:tab/>
          </w:r>
          <w:r>
            <w:rPr>
              <w:lang w:val="en-CA" w:eastAsia="en-CA"/>
            </w:rPr>
            <w:t>Rights in Data</w:t>
            <w:tab/>
          </w:r>
          <w:hyperlink w:anchor="__RefHeading___Toc515639069">
            <w:r>
              <w:rPr>
                <w:rStyle w:val="IndexLink"/>
                <w:lang w:val="en-CA" w:eastAsia="en-CA"/>
              </w:rPr>
              <w:t>16</w:t>
            </w:r>
          </w:hyperlink>
        </w:p>
        <w:p>
          <w:pPr>
            <w:pStyle w:val="TOC1"/>
            <w:rPr>
              <w:rFonts w:cs="Times New Roman"/>
            </w:rPr>
          </w:pPr>
          <w:r>
            <w:rPr/>
            <w:t>ARTICLE VII</w:t>
            <w:br/>
            <w:t>TERM; TERMINATION</w:t>
            <w:tab/>
          </w:r>
          <w:hyperlink w:anchor="__RefHeading___Toc515639070">
            <w:r>
              <w:rPr>
                <w:rStyle w:val="IndexLink"/>
              </w:rPr>
              <w:t>16</w:t>
            </w:r>
          </w:hyperlink>
        </w:p>
        <w:p>
          <w:pPr>
            <w:pStyle w:val="TOC2"/>
            <w:rPr>
              <w:rFonts w:cs="Times New Roman"/>
              <w:lang w:val="en-CA" w:eastAsia="en-CA"/>
            </w:rPr>
          </w:pPr>
          <w:r>
            <w:rPr>
              <w:lang w:val="en-CA" w:eastAsia="en-CA"/>
            </w:rPr>
            <w:t>7.1</w:t>
          </w:r>
          <w:r>
            <w:rPr>
              <w:rFonts w:cs="Times New Roman"/>
              <w:lang w:val="en-CA" w:eastAsia="en-CA"/>
            </w:rPr>
            <w:tab/>
          </w:r>
          <w:r>
            <w:rPr>
              <w:lang w:val="en-CA" w:eastAsia="en-CA"/>
            </w:rPr>
            <w:t>Term</w:t>
            <w:tab/>
          </w:r>
          <w:hyperlink w:anchor="__RefHeading___Toc515639071">
            <w:r>
              <w:rPr>
                <w:rStyle w:val="IndexLink"/>
                <w:lang w:val="en-CA" w:eastAsia="en-CA"/>
              </w:rPr>
              <w:t>16</w:t>
            </w:r>
          </w:hyperlink>
        </w:p>
        <w:p>
          <w:pPr>
            <w:pStyle w:val="TOC2"/>
            <w:rPr>
              <w:rFonts w:cs="Times New Roman"/>
              <w:lang w:val="en-CA" w:eastAsia="en-CA"/>
            </w:rPr>
          </w:pPr>
          <w:r>
            <w:rPr>
              <w:lang w:val="en-CA" w:eastAsia="en-CA"/>
            </w:rPr>
            <w:t>7.2</w:t>
          </w:r>
          <w:r>
            <w:rPr>
              <w:rFonts w:cs="Times New Roman"/>
              <w:lang w:val="en-CA" w:eastAsia="en-CA"/>
            </w:rPr>
            <w:tab/>
          </w:r>
          <w:r>
            <w:rPr>
              <w:lang w:val="en-CA" w:eastAsia="en-CA"/>
            </w:rPr>
            <w:t>Termination by Enron</w:t>
            <w:tab/>
          </w:r>
          <w:hyperlink w:anchor="__RefHeading___Toc515639072">
            <w:r>
              <w:rPr>
                <w:rStyle w:val="IndexLink"/>
                <w:lang w:val="en-CA" w:eastAsia="en-CA"/>
              </w:rPr>
              <w:t>16</w:t>
            </w:r>
          </w:hyperlink>
        </w:p>
        <w:p>
          <w:pPr>
            <w:pStyle w:val="TOC2"/>
            <w:rPr>
              <w:rFonts w:cs="Times New Roman"/>
              <w:lang w:val="en-CA" w:eastAsia="en-CA"/>
            </w:rPr>
          </w:pPr>
          <w:r>
            <w:rPr>
              <w:lang w:val="en-CA" w:eastAsia="en-CA"/>
            </w:rPr>
            <w:t>7.3</w:t>
          </w:r>
          <w:r>
            <w:rPr>
              <w:rFonts w:cs="Times New Roman"/>
              <w:lang w:val="en-CA" w:eastAsia="en-CA"/>
            </w:rPr>
            <w:tab/>
          </w:r>
          <w:r>
            <w:rPr>
              <w:lang w:val="en-CA" w:eastAsia="en-CA"/>
            </w:rPr>
            <w:t>Termination by Accenture</w:t>
            <w:tab/>
          </w:r>
          <w:hyperlink w:anchor="__RefHeading___Toc515639073">
            <w:r>
              <w:rPr>
                <w:rStyle w:val="IndexLink"/>
                <w:lang w:val="en-CA" w:eastAsia="en-CA"/>
              </w:rPr>
              <w:t>17</w:t>
            </w:r>
          </w:hyperlink>
        </w:p>
        <w:p>
          <w:pPr>
            <w:pStyle w:val="TOC2"/>
            <w:rPr>
              <w:rFonts w:cs="Times New Roman"/>
              <w:lang w:val="en-CA" w:eastAsia="en-CA"/>
            </w:rPr>
          </w:pPr>
          <w:r>
            <w:rPr>
              <w:lang w:val="en-CA" w:eastAsia="en-CA"/>
            </w:rPr>
            <w:t>7.4</w:t>
          </w:r>
          <w:r>
            <w:rPr>
              <w:rFonts w:cs="Times New Roman"/>
              <w:lang w:val="en-CA" w:eastAsia="en-CA"/>
            </w:rPr>
            <w:tab/>
          </w:r>
          <w:r>
            <w:rPr>
              <w:lang w:val="en-CA" w:eastAsia="en-CA"/>
            </w:rPr>
            <w:t>Termination Disputed</w:t>
            <w:tab/>
          </w:r>
          <w:hyperlink w:anchor="__RefHeading___Toc515639074">
            <w:r>
              <w:rPr>
                <w:rStyle w:val="IndexLink"/>
                <w:lang w:val="en-CA" w:eastAsia="en-CA"/>
              </w:rPr>
              <w:t>18</w:t>
            </w:r>
          </w:hyperlink>
        </w:p>
        <w:p>
          <w:pPr>
            <w:pStyle w:val="TOC2"/>
            <w:rPr>
              <w:rFonts w:cs="Times New Roman"/>
              <w:lang w:val="en-CA" w:eastAsia="en-CA"/>
            </w:rPr>
          </w:pPr>
          <w:r>
            <w:rPr>
              <w:lang w:val="en-CA" w:eastAsia="en-CA"/>
            </w:rPr>
            <w:t>7.5</w:t>
          </w:r>
          <w:r>
            <w:rPr>
              <w:rFonts w:cs="Times New Roman"/>
              <w:lang w:val="en-CA" w:eastAsia="en-CA"/>
            </w:rPr>
            <w:tab/>
          </w:r>
          <w:r>
            <w:rPr>
              <w:lang w:val="en-CA" w:eastAsia="en-CA"/>
            </w:rPr>
            <w:t>Licenses Upon Termination</w:t>
            <w:tab/>
          </w:r>
          <w:hyperlink w:anchor="__RefHeading___Toc515639075">
            <w:r>
              <w:rPr>
                <w:rStyle w:val="IndexLink"/>
                <w:lang w:val="en-CA" w:eastAsia="en-CA"/>
              </w:rPr>
              <w:t>18</w:t>
            </w:r>
          </w:hyperlink>
        </w:p>
        <w:p>
          <w:pPr>
            <w:pStyle w:val="TOC2"/>
            <w:rPr>
              <w:rFonts w:cs="Times New Roman"/>
              <w:lang w:val="en-CA" w:eastAsia="en-CA"/>
            </w:rPr>
          </w:pPr>
          <w:r>
            <w:rPr>
              <w:lang w:val="en-CA" w:eastAsia="en-CA"/>
            </w:rPr>
            <w:t>7.6</w:t>
          </w:r>
          <w:r>
            <w:rPr>
              <w:rFonts w:cs="Times New Roman"/>
              <w:lang w:val="en-CA" w:eastAsia="en-CA"/>
            </w:rPr>
            <w:tab/>
          </w:r>
          <w:r>
            <w:rPr>
              <w:lang w:val="en-CA" w:eastAsia="en-CA"/>
            </w:rPr>
            <w:t>Rights Upon Expiration or Termination.</w:t>
            <w:tab/>
          </w:r>
          <w:hyperlink w:anchor="__RefHeading___Toc515639076">
            <w:r>
              <w:rPr>
                <w:rStyle w:val="IndexLink"/>
                <w:lang w:val="en-CA" w:eastAsia="en-CA"/>
              </w:rPr>
              <w:t>18</w:t>
            </w:r>
          </w:hyperlink>
        </w:p>
        <w:p>
          <w:pPr>
            <w:pStyle w:val="TOC2"/>
            <w:rPr>
              <w:rFonts w:cs="Times New Roman"/>
              <w:lang w:val="en-CA" w:eastAsia="en-CA"/>
            </w:rPr>
          </w:pPr>
          <w:r>
            <w:rPr>
              <w:lang w:val="en-CA" w:eastAsia="en-CA"/>
            </w:rPr>
            <w:t>7.7</w:t>
          </w:r>
          <w:r>
            <w:rPr>
              <w:rFonts w:cs="Times New Roman"/>
              <w:lang w:val="en-CA" w:eastAsia="en-CA"/>
            </w:rPr>
            <w:tab/>
          </w:r>
          <w:r>
            <w:rPr>
              <w:lang w:val="en-CA" w:eastAsia="en-CA"/>
            </w:rPr>
            <w:t>Survival of Certain Provisions</w:t>
            <w:tab/>
          </w:r>
          <w:hyperlink w:anchor="__RefHeading___Toc515639077">
            <w:r>
              <w:rPr>
                <w:rStyle w:val="IndexLink"/>
                <w:lang w:val="en-CA" w:eastAsia="en-CA"/>
              </w:rPr>
              <w:t>19</w:t>
            </w:r>
          </w:hyperlink>
        </w:p>
        <w:p>
          <w:pPr>
            <w:pStyle w:val="TOC1"/>
            <w:rPr>
              <w:rFonts w:cs="Times New Roman"/>
            </w:rPr>
          </w:pPr>
          <w:r>
            <w:rPr/>
            <w:t>ARTICLE VIII</w:t>
            <w:br/>
            <w:t>REPRESENTATIONS AND WARRANTIES</w:t>
            <w:tab/>
          </w:r>
          <w:hyperlink w:anchor="__RefHeading___Toc515639078">
            <w:r>
              <w:rPr>
                <w:rStyle w:val="IndexLink"/>
              </w:rPr>
              <w:t>19</w:t>
            </w:r>
          </w:hyperlink>
        </w:p>
        <w:p>
          <w:pPr>
            <w:pStyle w:val="TOC2"/>
            <w:rPr>
              <w:rFonts w:cs="Times New Roman"/>
              <w:lang w:val="en-CA" w:eastAsia="en-CA"/>
            </w:rPr>
          </w:pPr>
          <w:r>
            <w:rPr>
              <w:lang w:val="en-CA" w:eastAsia="en-CA"/>
            </w:rPr>
            <w:t>8.1</w:t>
          </w:r>
          <w:r>
            <w:rPr>
              <w:rFonts w:cs="Times New Roman"/>
              <w:lang w:val="en-CA" w:eastAsia="en-CA"/>
            </w:rPr>
            <w:tab/>
          </w:r>
          <w:r>
            <w:rPr>
              <w:lang w:val="en-CA" w:eastAsia="en-CA"/>
            </w:rPr>
            <w:t>Representations and Warranties of Enron</w:t>
            <w:tab/>
          </w:r>
          <w:hyperlink w:anchor="__RefHeading___Toc515639079">
            <w:r>
              <w:rPr>
                <w:rStyle w:val="IndexLink"/>
                <w:lang w:val="en-CA" w:eastAsia="en-CA"/>
              </w:rPr>
              <w:t>19</w:t>
            </w:r>
          </w:hyperlink>
        </w:p>
        <w:p>
          <w:pPr>
            <w:pStyle w:val="TOC2"/>
            <w:rPr>
              <w:rFonts w:cs="Times New Roman"/>
              <w:lang w:val="en-CA" w:eastAsia="en-CA"/>
            </w:rPr>
          </w:pPr>
          <w:r>
            <w:rPr>
              <w:lang w:val="en-CA" w:eastAsia="en-CA"/>
            </w:rPr>
            <w:t>8.2</w:t>
          </w:r>
          <w:r>
            <w:rPr>
              <w:rFonts w:cs="Times New Roman"/>
              <w:lang w:val="en-CA" w:eastAsia="en-CA"/>
            </w:rPr>
            <w:tab/>
          </w:r>
          <w:r>
            <w:rPr>
              <w:lang w:val="en-CA" w:eastAsia="en-CA"/>
            </w:rPr>
            <w:t>Representations and Warranties of Accenture.</w:t>
            <w:tab/>
          </w:r>
          <w:hyperlink w:anchor="__RefHeading___Toc515639080">
            <w:r>
              <w:rPr>
                <w:rStyle w:val="IndexLink"/>
                <w:lang w:val="en-CA" w:eastAsia="en-CA"/>
              </w:rPr>
              <w:t>20</w:t>
            </w:r>
          </w:hyperlink>
        </w:p>
        <w:p>
          <w:pPr>
            <w:pStyle w:val="TOC1"/>
            <w:rPr>
              <w:rFonts w:cs="Times New Roman"/>
            </w:rPr>
          </w:pPr>
          <w:r>
            <w:rPr/>
            <w:t>ARTICLE IX</w:t>
            <w:br/>
            <w:t>INDEMNIFICATION, REMEDIES AND LIABILITY</w:t>
            <w:tab/>
          </w:r>
          <w:hyperlink w:anchor="__RefHeading___Toc515639081">
            <w:r>
              <w:rPr>
                <w:rStyle w:val="IndexLink"/>
              </w:rPr>
              <w:t>20</w:t>
            </w:r>
          </w:hyperlink>
        </w:p>
        <w:p>
          <w:pPr>
            <w:pStyle w:val="TOC2"/>
            <w:rPr>
              <w:rFonts w:cs="Times New Roman"/>
              <w:lang w:val="en-CA" w:eastAsia="en-CA"/>
            </w:rPr>
          </w:pPr>
          <w:r>
            <w:rPr>
              <w:lang w:val="en-CA" w:eastAsia="en-CA"/>
            </w:rPr>
            <w:t>9.1</w:t>
          </w:r>
          <w:r>
            <w:rPr>
              <w:rFonts w:cs="Times New Roman"/>
              <w:lang w:val="en-CA" w:eastAsia="en-CA"/>
            </w:rPr>
            <w:tab/>
          </w:r>
          <w:r>
            <w:rPr>
              <w:lang w:val="en-CA" w:eastAsia="en-CA"/>
            </w:rPr>
            <w:t>Infringement Indemnity.</w:t>
            <w:tab/>
          </w:r>
          <w:hyperlink w:anchor="__RefHeading___Toc515639082">
            <w:r>
              <w:rPr>
                <w:rStyle w:val="IndexLink"/>
                <w:lang w:val="en-CA" w:eastAsia="en-CA"/>
              </w:rPr>
              <w:t>20</w:t>
            </w:r>
          </w:hyperlink>
        </w:p>
        <w:p>
          <w:pPr>
            <w:pStyle w:val="TOC2"/>
            <w:rPr>
              <w:rFonts w:cs="Times New Roman"/>
              <w:lang w:val="en-CA" w:eastAsia="en-CA"/>
            </w:rPr>
          </w:pPr>
          <w:r>
            <w:rPr>
              <w:lang w:val="en-CA" w:eastAsia="en-CA"/>
            </w:rPr>
            <w:t>9.2</w:t>
          </w:r>
          <w:r>
            <w:rPr>
              <w:rFonts w:cs="Times New Roman"/>
              <w:lang w:val="en-CA" w:eastAsia="en-CA"/>
            </w:rPr>
            <w:tab/>
          </w:r>
          <w:r>
            <w:rPr>
              <w:lang w:val="en-CA" w:eastAsia="en-CA"/>
            </w:rPr>
            <w:t>General Indemnification.</w:t>
            <w:tab/>
          </w:r>
          <w:hyperlink w:anchor="__RefHeading___Toc515639083">
            <w:r>
              <w:rPr>
                <w:rStyle w:val="IndexLink"/>
                <w:lang w:val="en-CA" w:eastAsia="en-CA"/>
              </w:rPr>
              <w:t>21</w:t>
            </w:r>
          </w:hyperlink>
        </w:p>
        <w:p>
          <w:pPr>
            <w:pStyle w:val="TOC2"/>
            <w:rPr>
              <w:rFonts w:cs="Times New Roman"/>
              <w:lang w:val="en-CA" w:eastAsia="en-CA"/>
            </w:rPr>
          </w:pPr>
          <w:r>
            <w:rPr>
              <w:lang w:val="en-CA" w:eastAsia="en-CA"/>
            </w:rPr>
            <w:t>9.3</w:t>
          </w:r>
          <w:r>
            <w:rPr>
              <w:rFonts w:cs="Times New Roman"/>
              <w:lang w:val="en-CA" w:eastAsia="en-CA"/>
            </w:rPr>
            <w:tab/>
          </w:r>
          <w:r>
            <w:rPr>
              <w:lang w:val="en-CA" w:eastAsia="en-CA"/>
            </w:rPr>
            <w:t>Indemnity Procedures</w:t>
            <w:tab/>
          </w:r>
          <w:hyperlink w:anchor="__RefHeading___Toc515639084">
            <w:r>
              <w:rPr>
                <w:rStyle w:val="IndexLink"/>
                <w:lang w:val="en-CA" w:eastAsia="en-CA"/>
              </w:rPr>
              <w:t>21</w:t>
            </w:r>
          </w:hyperlink>
        </w:p>
        <w:p>
          <w:pPr>
            <w:pStyle w:val="TOC2"/>
            <w:rPr>
              <w:rFonts w:cs="Times New Roman"/>
              <w:lang w:val="en-CA" w:eastAsia="en-CA"/>
            </w:rPr>
          </w:pPr>
          <w:r>
            <w:rPr>
              <w:lang w:val="en-CA" w:eastAsia="en-CA"/>
            </w:rPr>
            <w:t>9.4</w:t>
          </w:r>
          <w:r>
            <w:rPr>
              <w:rFonts w:cs="Times New Roman"/>
              <w:lang w:val="en-CA" w:eastAsia="en-CA"/>
            </w:rPr>
            <w:tab/>
          </w:r>
          <w:r>
            <w:rPr>
              <w:lang w:val="en-CA" w:eastAsia="en-CA"/>
            </w:rPr>
            <w:t>Limitation of Liability.</w:t>
            <w:tab/>
          </w:r>
          <w:hyperlink w:anchor="__RefHeading___Toc515639085">
            <w:r>
              <w:rPr>
                <w:rStyle w:val="IndexLink"/>
                <w:lang w:val="en-CA" w:eastAsia="en-CA"/>
              </w:rPr>
              <w:t>22</w:t>
            </w:r>
          </w:hyperlink>
        </w:p>
        <w:p>
          <w:pPr>
            <w:pStyle w:val="TOC2"/>
            <w:rPr>
              <w:rFonts w:cs="Times New Roman"/>
              <w:lang w:val="en-CA" w:eastAsia="en-CA"/>
            </w:rPr>
          </w:pPr>
          <w:r>
            <w:rPr>
              <w:lang w:val="en-CA" w:eastAsia="en-CA"/>
            </w:rPr>
            <w:t>9.5</w:t>
          </w:r>
          <w:r>
            <w:rPr>
              <w:rFonts w:cs="Times New Roman"/>
              <w:lang w:val="en-CA" w:eastAsia="en-CA"/>
            </w:rPr>
            <w:tab/>
          </w:r>
          <w:r>
            <w:rPr>
              <w:lang w:val="en-CA" w:eastAsia="en-CA"/>
            </w:rPr>
            <w:t>Exclusion of Certain Damages</w:t>
            <w:tab/>
          </w:r>
          <w:hyperlink w:anchor="__RefHeading___Toc515639086">
            <w:r>
              <w:rPr>
                <w:rStyle w:val="IndexLink"/>
                <w:lang w:val="en-CA" w:eastAsia="en-CA"/>
              </w:rPr>
              <w:t>23</w:t>
            </w:r>
          </w:hyperlink>
        </w:p>
        <w:p>
          <w:pPr>
            <w:pStyle w:val="TOC2"/>
            <w:rPr>
              <w:rFonts w:cs="Times New Roman"/>
              <w:lang w:val="en-CA" w:eastAsia="en-CA"/>
            </w:rPr>
          </w:pPr>
          <w:r>
            <w:rPr>
              <w:lang w:val="en-CA" w:eastAsia="en-CA"/>
            </w:rPr>
            <w:t>9.6</w:t>
          </w:r>
          <w:r>
            <w:rPr>
              <w:rFonts w:cs="Times New Roman"/>
              <w:lang w:val="en-CA" w:eastAsia="en-CA"/>
            </w:rPr>
            <w:tab/>
          </w:r>
          <w:r>
            <w:rPr>
              <w:lang w:val="en-CA" w:eastAsia="en-CA"/>
            </w:rPr>
            <w:t>Recourse</w:t>
            <w:tab/>
          </w:r>
          <w:hyperlink w:anchor="__RefHeading___Toc515639087">
            <w:r>
              <w:rPr>
                <w:rStyle w:val="IndexLink"/>
                <w:lang w:val="en-CA" w:eastAsia="en-CA"/>
              </w:rPr>
              <w:t>23</w:t>
            </w:r>
          </w:hyperlink>
        </w:p>
        <w:p>
          <w:pPr>
            <w:pStyle w:val="TOC2"/>
            <w:rPr>
              <w:rFonts w:cs="Times New Roman"/>
              <w:lang w:val="en-CA" w:eastAsia="en-CA"/>
            </w:rPr>
          </w:pPr>
          <w:r>
            <w:rPr>
              <w:lang w:val="en-CA" w:eastAsia="en-CA"/>
            </w:rPr>
            <w:t>9.7</w:t>
          </w:r>
          <w:r>
            <w:rPr>
              <w:rFonts w:cs="Times New Roman"/>
              <w:lang w:val="en-CA" w:eastAsia="en-CA"/>
            </w:rPr>
            <w:tab/>
          </w:r>
          <w:r>
            <w:rPr>
              <w:lang w:val="en-CA" w:eastAsia="en-CA"/>
            </w:rPr>
            <w:t>Acknowledgments and Applicability of Limitations</w:t>
            <w:tab/>
          </w:r>
          <w:hyperlink w:anchor="__RefHeading___Toc515639088">
            <w:r>
              <w:rPr>
                <w:rStyle w:val="IndexLink"/>
                <w:lang w:val="en-CA" w:eastAsia="en-CA"/>
              </w:rPr>
              <w:t>23</w:t>
            </w:r>
          </w:hyperlink>
        </w:p>
        <w:p>
          <w:pPr>
            <w:pStyle w:val="TOC2"/>
            <w:rPr>
              <w:rFonts w:cs="Times New Roman"/>
              <w:lang w:val="en-CA" w:eastAsia="en-CA"/>
            </w:rPr>
          </w:pPr>
          <w:r>
            <w:rPr>
              <w:lang w:val="en-CA" w:eastAsia="en-CA"/>
            </w:rPr>
            <w:t>9.8</w:t>
          </w:r>
          <w:r>
            <w:rPr>
              <w:rFonts w:cs="Times New Roman"/>
              <w:lang w:val="en-CA" w:eastAsia="en-CA"/>
            </w:rPr>
            <w:tab/>
          </w:r>
          <w:r>
            <w:rPr>
              <w:lang w:val="en-CA" w:eastAsia="en-CA"/>
            </w:rPr>
            <w:t>Offset Right.</w:t>
            <w:tab/>
          </w:r>
          <w:hyperlink w:anchor="__RefHeading___Toc515639089">
            <w:r>
              <w:rPr>
                <w:rStyle w:val="IndexLink"/>
                <w:lang w:val="en-CA" w:eastAsia="en-CA"/>
              </w:rPr>
              <w:t>23</w:t>
            </w:r>
          </w:hyperlink>
        </w:p>
        <w:p>
          <w:pPr>
            <w:pStyle w:val="TOC1"/>
            <w:rPr>
              <w:rFonts w:cs="Times New Roman"/>
            </w:rPr>
          </w:pPr>
          <w:r>
            <w:rPr/>
            <w:t>ARTICLE X</w:t>
            <w:br/>
            <w:t>OTHER PROVISIONS</w:t>
            <w:tab/>
          </w:r>
          <w:hyperlink w:anchor="__RefHeading___Toc515639090">
            <w:r>
              <w:rPr>
                <w:rStyle w:val="IndexLink"/>
              </w:rPr>
              <w:t>24</w:t>
            </w:r>
          </w:hyperlink>
        </w:p>
        <w:p>
          <w:pPr>
            <w:pStyle w:val="TOC2"/>
            <w:rPr>
              <w:rFonts w:cs="Times New Roman"/>
              <w:lang w:val="en-CA" w:eastAsia="en-CA"/>
            </w:rPr>
          </w:pPr>
          <w:r>
            <w:rPr>
              <w:lang w:val="en-CA" w:eastAsia="en-CA"/>
            </w:rPr>
            <w:t>10.1</w:t>
          </w:r>
          <w:r>
            <w:rPr>
              <w:rFonts w:cs="Times New Roman"/>
              <w:lang w:val="en-CA" w:eastAsia="en-CA"/>
            </w:rPr>
            <w:tab/>
          </w:r>
          <w:r>
            <w:rPr>
              <w:lang w:val="en-CA" w:eastAsia="en-CA"/>
            </w:rPr>
            <w:t>Worldwide Licenses</w:t>
            <w:tab/>
          </w:r>
          <w:hyperlink w:anchor="__RefHeading___Toc515639091">
            <w:r>
              <w:rPr>
                <w:rStyle w:val="IndexLink"/>
                <w:lang w:val="en-CA" w:eastAsia="en-CA"/>
              </w:rPr>
              <w:t>24</w:t>
            </w:r>
          </w:hyperlink>
        </w:p>
        <w:p>
          <w:pPr>
            <w:pStyle w:val="TOC2"/>
            <w:rPr>
              <w:rFonts w:cs="Times New Roman"/>
              <w:lang w:val="en-CA" w:eastAsia="en-CA"/>
            </w:rPr>
          </w:pPr>
          <w:r>
            <w:rPr>
              <w:lang w:val="en-CA" w:eastAsia="en-CA"/>
            </w:rPr>
            <w:t>10.2</w:t>
          </w:r>
          <w:r>
            <w:rPr>
              <w:rFonts w:cs="Times New Roman"/>
              <w:lang w:val="en-CA" w:eastAsia="en-CA"/>
            </w:rPr>
            <w:tab/>
          </w:r>
          <w:r>
            <w:rPr>
              <w:lang w:val="en-CA" w:eastAsia="en-CA"/>
            </w:rPr>
            <w:t>Expenses of the Parties</w:t>
            <w:tab/>
          </w:r>
          <w:hyperlink w:anchor="__RefHeading___Toc515639092">
            <w:r>
              <w:rPr>
                <w:rStyle w:val="IndexLink"/>
                <w:lang w:val="en-CA" w:eastAsia="en-CA"/>
              </w:rPr>
              <w:t>24</w:t>
            </w:r>
          </w:hyperlink>
        </w:p>
        <w:p>
          <w:pPr>
            <w:pStyle w:val="TOC2"/>
            <w:rPr>
              <w:rFonts w:cs="Times New Roman"/>
              <w:lang w:val="en-CA" w:eastAsia="en-CA"/>
            </w:rPr>
          </w:pPr>
          <w:r>
            <w:rPr>
              <w:lang w:val="en-CA" w:eastAsia="en-CA"/>
            </w:rPr>
            <w:t>10.3</w:t>
          </w:r>
          <w:r>
            <w:rPr>
              <w:rFonts w:cs="Times New Roman"/>
              <w:lang w:val="en-CA" w:eastAsia="en-CA"/>
            </w:rPr>
            <w:tab/>
          </w:r>
          <w:r>
            <w:rPr>
              <w:lang w:val="en-CA" w:eastAsia="en-CA"/>
            </w:rPr>
            <w:t>Relationship of the Parties</w:t>
            <w:tab/>
          </w:r>
          <w:hyperlink w:anchor="__RefHeading___Toc515639093">
            <w:r>
              <w:rPr>
                <w:rStyle w:val="IndexLink"/>
                <w:lang w:val="en-CA" w:eastAsia="en-CA"/>
              </w:rPr>
              <w:t>25</w:t>
            </w:r>
          </w:hyperlink>
        </w:p>
        <w:p>
          <w:pPr>
            <w:pStyle w:val="TOC2"/>
            <w:rPr>
              <w:rFonts w:cs="Times New Roman"/>
              <w:lang w:val="en-CA" w:eastAsia="en-CA"/>
            </w:rPr>
          </w:pPr>
          <w:r>
            <w:rPr>
              <w:lang w:val="en-CA" w:eastAsia="en-CA"/>
            </w:rPr>
            <w:t>10.4</w:t>
          </w:r>
          <w:r>
            <w:rPr>
              <w:rFonts w:cs="Times New Roman"/>
              <w:lang w:val="en-CA" w:eastAsia="en-CA"/>
            </w:rPr>
            <w:tab/>
          </w:r>
          <w:r>
            <w:rPr>
              <w:lang w:val="en-CA" w:eastAsia="en-CA"/>
            </w:rPr>
            <w:t>No Third Party Beneficiaries</w:t>
            <w:tab/>
          </w:r>
          <w:hyperlink w:anchor="__RefHeading___Toc515639094">
            <w:r>
              <w:rPr>
                <w:rStyle w:val="IndexLink"/>
                <w:lang w:val="en-CA" w:eastAsia="en-CA"/>
              </w:rPr>
              <w:t>25</w:t>
            </w:r>
          </w:hyperlink>
        </w:p>
        <w:p>
          <w:pPr>
            <w:pStyle w:val="TOC2"/>
            <w:rPr>
              <w:rFonts w:cs="Times New Roman"/>
              <w:lang w:val="en-CA" w:eastAsia="en-CA"/>
            </w:rPr>
          </w:pPr>
          <w:r>
            <w:rPr>
              <w:lang w:val="en-CA" w:eastAsia="en-CA"/>
            </w:rPr>
            <w:t>10.5</w:t>
          </w:r>
          <w:r>
            <w:rPr>
              <w:rFonts w:cs="Times New Roman"/>
              <w:lang w:val="en-CA" w:eastAsia="en-CA"/>
            </w:rPr>
            <w:tab/>
          </w:r>
          <w:r>
            <w:rPr>
              <w:lang w:val="en-CA" w:eastAsia="en-CA"/>
            </w:rPr>
            <w:t>Cooperation; Consents</w:t>
            <w:tab/>
          </w:r>
          <w:hyperlink w:anchor="__RefHeading___Toc515639095">
            <w:r>
              <w:rPr>
                <w:rStyle w:val="IndexLink"/>
                <w:lang w:val="en-CA" w:eastAsia="en-CA"/>
              </w:rPr>
              <w:t>25</w:t>
            </w:r>
          </w:hyperlink>
        </w:p>
        <w:p>
          <w:pPr>
            <w:pStyle w:val="TOC2"/>
            <w:rPr>
              <w:rFonts w:cs="Times New Roman"/>
              <w:lang w:val="en-CA" w:eastAsia="en-CA"/>
            </w:rPr>
          </w:pPr>
          <w:r>
            <w:rPr>
              <w:lang w:val="en-CA" w:eastAsia="en-CA"/>
            </w:rPr>
            <w:t>10.6</w:t>
          </w:r>
          <w:r>
            <w:rPr>
              <w:rFonts w:cs="Times New Roman"/>
              <w:lang w:val="en-CA" w:eastAsia="en-CA"/>
            </w:rPr>
            <w:tab/>
          </w:r>
          <w:r>
            <w:rPr>
              <w:lang w:val="en-CA" w:eastAsia="en-CA"/>
            </w:rPr>
            <w:t>Notice</w:t>
            <w:tab/>
          </w:r>
          <w:hyperlink w:anchor="__RefHeading___Toc515639096">
            <w:r>
              <w:rPr>
                <w:rStyle w:val="IndexLink"/>
                <w:lang w:val="en-CA" w:eastAsia="en-CA"/>
              </w:rPr>
              <w:t>25</w:t>
            </w:r>
          </w:hyperlink>
        </w:p>
        <w:p>
          <w:pPr>
            <w:pStyle w:val="TOC2"/>
            <w:rPr>
              <w:rFonts w:cs="Times New Roman"/>
              <w:lang w:val="en-CA" w:eastAsia="en-CA"/>
            </w:rPr>
          </w:pPr>
          <w:r>
            <w:rPr>
              <w:lang w:val="en-CA" w:eastAsia="en-CA"/>
            </w:rPr>
            <w:t>10.7</w:t>
          </w:r>
          <w:r>
            <w:rPr>
              <w:rFonts w:cs="Times New Roman"/>
              <w:lang w:val="en-CA" w:eastAsia="en-CA"/>
            </w:rPr>
            <w:tab/>
          </w:r>
          <w:r>
            <w:rPr>
              <w:lang w:val="en-CA" w:eastAsia="en-CA"/>
            </w:rPr>
            <w:t>Severability</w:t>
            <w:tab/>
          </w:r>
          <w:hyperlink w:anchor="__RefHeading___Toc515639097">
            <w:r>
              <w:rPr>
                <w:rStyle w:val="IndexLink"/>
                <w:lang w:val="en-CA" w:eastAsia="en-CA"/>
              </w:rPr>
              <w:t>26</w:t>
            </w:r>
          </w:hyperlink>
        </w:p>
        <w:p>
          <w:pPr>
            <w:pStyle w:val="TOC2"/>
            <w:rPr>
              <w:rFonts w:cs="Times New Roman"/>
              <w:lang w:val="en-CA" w:eastAsia="en-CA"/>
            </w:rPr>
          </w:pPr>
          <w:r>
            <w:rPr>
              <w:lang w:val="en-CA" w:eastAsia="en-CA"/>
            </w:rPr>
            <w:t>10.8</w:t>
          </w:r>
          <w:r>
            <w:rPr>
              <w:rFonts w:cs="Times New Roman"/>
              <w:lang w:val="en-CA" w:eastAsia="en-CA"/>
            </w:rPr>
            <w:tab/>
          </w:r>
          <w:r>
            <w:rPr>
              <w:lang w:val="en-CA" w:eastAsia="en-CA"/>
            </w:rPr>
            <w:t>Assignment</w:t>
            <w:tab/>
          </w:r>
          <w:hyperlink w:anchor="__RefHeading___Toc515639098">
            <w:r>
              <w:rPr>
                <w:rStyle w:val="IndexLink"/>
                <w:lang w:val="en-CA" w:eastAsia="en-CA"/>
              </w:rPr>
              <w:t>26</w:t>
            </w:r>
          </w:hyperlink>
        </w:p>
        <w:p>
          <w:pPr>
            <w:pStyle w:val="TOC2"/>
            <w:rPr>
              <w:rFonts w:cs="Times New Roman"/>
              <w:lang w:val="en-CA" w:eastAsia="en-CA"/>
            </w:rPr>
          </w:pPr>
          <w:r>
            <w:rPr>
              <w:lang w:val="en-CA" w:eastAsia="en-CA"/>
            </w:rPr>
            <w:t>10.9</w:t>
          </w:r>
          <w:r>
            <w:rPr>
              <w:rFonts w:cs="Times New Roman"/>
              <w:lang w:val="en-CA" w:eastAsia="en-CA"/>
            </w:rPr>
            <w:tab/>
          </w:r>
          <w:r>
            <w:rPr>
              <w:lang w:val="en-CA" w:eastAsia="en-CA"/>
            </w:rPr>
            <w:t>Remedies Cumulative</w:t>
            <w:tab/>
          </w:r>
          <w:hyperlink w:anchor="__RefHeading___Toc515639099">
            <w:r>
              <w:rPr>
                <w:rStyle w:val="IndexLink"/>
                <w:lang w:val="en-CA" w:eastAsia="en-CA"/>
              </w:rPr>
              <w:t>26</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10.10</w:t>
          </w:r>
          <w:r>
            <w:rPr>
              <w:rFonts w:cs="Times New Roman"/>
              <w:lang w:val="en-CA" w:eastAsia="en-CA"/>
            </w:rPr>
            <w:tab/>
          </w:r>
          <w:r>
            <w:rPr>
              <w:lang w:val="en-CA" w:eastAsia="en-CA"/>
            </w:rPr>
            <w:t>Amendment</w:t>
            <w:tab/>
          </w:r>
          <w:hyperlink w:anchor="__RefHeading___Toc515639100">
            <w:r>
              <w:rPr>
                <w:rStyle w:val="IndexLink"/>
                <w:lang w:val="en-CA" w:eastAsia="en-CA"/>
              </w:rPr>
              <w:t>26</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10.11</w:t>
          </w:r>
          <w:r>
            <w:rPr>
              <w:rFonts w:cs="Times New Roman"/>
              <w:lang w:val="en-CA" w:eastAsia="en-CA"/>
            </w:rPr>
            <w:tab/>
          </w:r>
          <w:r>
            <w:rPr>
              <w:lang w:val="en-CA" w:eastAsia="en-CA"/>
            </w:rPr>
            <w:t>Waiver</w:t>
            <w:tab/>
            <w:tab/>
          </w:r>
          <w:hyperlink w:anchor="__RefHeading___Toc515639101">
            <w:r>
              <w:rPr>
                <w:rStyle w:val="IndexLink"/>
                <w:lang w:val="en-CA" w:eastAsia="en-CA"/>
              </w:rPr>
              <w:t>26</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10.12</w:t>
          </w:r>
          <w:r>
            <w:rPr>
              <w:rFonts w:cs="Times New Roman"/>
              <w:lang w:val="en-CA" w:eastAsia="en-CA"/>
            </w:rPr>
            <w:tab/>
          </w:r>
          <w:r>
            <w:rPr>
              <w:lang w:val="en-CA" w:eastAsia="en-CA"/>
            </w:rPr>
            <w:t>Entire Agreement</w:t>
            <w:tab/>
          </w:r>
          <w:hyperlink w:anchor="__RefHeading___Toc515639102">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10.13</w:t>
          </w:r>
          <w:r>
            <w:rPr>
              <w:rFonts w:cs="Times New Roman"/>
              <w:lang w:val="en-CA" w:eastAsia="en-CA"/>
            </w:rPr>
            <w:tab/>
          </w:r>
          <w:r>
            <w:rPr>
              <w:lang w:val="en-CA" w:eastAsia="en-CA"/>
            </w:rPr>
            <w:t>Arbitration</w:t>
            <w:tab/>
          </w:r>
          <w:hyperlink w:anchor="__RefHeading___Toc515639103">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10.14</w:t>
          </w:r>
          <w:r>
            <w:rPr>
              <w:rFonts w:cs="Times New Roman"/>
              <w:lang w:val="en-CA" w:eastAsia="en-CA"/>
            </w:rPr>
            <w:tab/>
          </w:r>
          <w:r>
            <w:rPr>
              <w:lang w:val="en-CA" w:eastAsia="en-CA"/>
            </w:rPr>
            <w:t>Injunctive Relief</w:t>
            <w:tab/>
          </w:r>
          <w:hyperlink w:anchor="__RefHeading___Toc515639104">
            <w:r>
              <w:rPr>
                <w:rStyle w:val="IndexLink"/>
                <w:lang w:val="en-CA" w:eastAsia="en-CA"/>
              </w:rPr>
              <w:t>29</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10.15</w:t>
          </w:r>
          <w:r>
            <w:rPr>
              <w:rFonts w:cs="Times New Roman"/>
              <w:lang w:val="en-CA" w:eastAsia="en-CA"/>
            </w:rPr>
            <w:tab/>
          </w:r>
          <w:r>
            <w:rPr>
              <w:lang w:val="en-CA" w:eastAsia="en-CA"/>
            </w:rPr>
            <w:t>Governing Law.</w:t>
            <w:tab/>
          </w:r>
          <w:hyperlink w:anchor="__RefHeading___Toc515639105">
            <w:r>
              <w:rPr>
                <w:rStyle w:val="IndexLink"/>
                <w:lang w:val="en-CA" w:eastAsia="en-CA"/>
              </w:rPr>
              <w:t>29</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10.16</w:t>
          </w:r>
          <w:r>
            <w:rPr>
              <w:rFonts w:cs="Times New Roman"/>
              <w:lang w:val="en-CA" w:eastAsia="en-CA"/>
            </w:rPr>
            <w:tab/>
          </w:r>
          <w:r>
            <w:rPr>
              <w:lang w:val="en-CA" w:eastAsia="en-CA"/>
            </w:rPr>
            <w:t>Counterparts</w:t>
            <w:tab/>
          </w:r>
          <w:hyperlink w:anchor="__RefHeading___Toc515639106">
            <w:r>
              <w:rPr>
                <w:rStyle w:val="IndexLink"/>
                <w:lang w:val="en-CA" w:eastAsia="en-CA"/>
              </w:rPr>
              <w:t>29</w:t>
            </w:r>
          </w:hyperlink>
          <w:r>
            <w:rPr>
              <w:rStyle w:val="IndexLink"/>
              <w:lang w:val="en-CA" w:eastAsia="en-CA"/>
            </w:rPr>
            <w:fldChar w:fldCharType="end"/>
          </w:r>
        </w:p>
      </w:sdtContent>
    </w:sdt>
    <w:p>
      <w:pPr>
        <w:pStyle w:val="TOC2"/>
        <w:rPr>
          <w:rFonts w:cs="Times New Roman"/>
          <w:lang w:val="en-CA" w:eastAsia="en-CA"/>
        </w:rPr>
      </w:pPr>
      <w:r>
        <w:rPr>
          <w:rFonts w:cs="Times New Roman"/>
          <w:lang w:val="en-CA" w:eastAsia="en-CA"/>
        </w:rPr>
      </w:r>
    </w:p>
    <w:p>
      <w:pPr>
        <w:pStyle w:val="VEBodyText"/>
        <w:keepNext w:val="true"/>
        <w:rPr/>
      </w:pPr>
      <w:r>
        <w:rPr/>
      </w:r>
    </w:p>
    <w:p>
      <w:pPr>
        <w:pStyle w:val="VEBodyText"/>
        <w:keepNext w:val="true"/>
        <w:rPr/>
      </w:pPr>
      <w:r>
        <w:rPr/>
        <w:t>Exhibits:</w:t>
      </w:r>
    </w:p>
    <w:p>
      <w:pPr>
        <w:pStyle w:val="VEBodyTextNoSpace"/>
        <w:keepNext w:val="true"/>
        <w:rPr/>
      </w:pPr>
      <w:r>
        <w:rPr/>
        <w:tab/>
        <w:t>A</w:t>
        <w:tab/>
        <w:t>EnronOnline Transaction Data Feed – External Interface Document</w:t>
      </w:r>
    </w:p>
    <w:p>
      <w:pPr>
        <w:pStyle w:val="VEBodyTextNoSpace"/>
        <w:keepNext w:val="true"/>
        <w:rPr/>
      </w:pPr>
      <w:r>
        <w:rPr/>
        <w:tab/>
        <w:t>B</w:t>
        <w:tab/>
        <w:t>Readable Transaction Terms</w:t>
      </w:r>
    </w:p>
    <w:p>
      <w:pPr>
        <w:pStyle w:val="VEBodyTextNoSpace"/>
        <w:keepNext w:val="true"/>
        <w:rPr/>
      </w:pPr>
      <w:r>
        <w:rPr/>
        <w:tab/>
        <w:t>C</w:t>
        <w:tab/>
        <w:t>Calculation of Standard Transaction Fee</w:t>
      </w:r>
    </w:p>
    <w:p>
      <w:pPr>
        <w:pStyle w:val="VEBodyTextNoSpace"/>
        <w:keepNext w:val="true"/>
        <w:rPr/>
      </w:pPr>
      <w:r>
        <w:rPr/>
        <w:tab/>
      </w:r>
    </w:p>
    <w:p>
      <w:pPr>
        <w:pStyle w:val="VEBodyText"/>
        <w:rPr/>
      </w:pPr>
      <w:r>
        <w:rPr/>
        <w:t>Schedules:</w:t>
      </w:r>
    </w:p>
    <w:p>
      <w:pPr>
        <w:pStyle w:val="VEBodyText"/>
        <w:rPr/>
      </w:pPr>
      <w:r>
        <w:rPr/>
        <w:tab/>
        <w:t>2.5</w:t>
        <w:tab/>
        <w:t>Service Levels</w:t>
      </w:r>
    </w:p>
    <w:p>
      <w:pPr>
        <w:pStyle w:val="VEBodyText"/>
        <w:rPr/>
      </w:pPr>
      <w:r>
        <w:rPr/>
        <w:tab/>
        <w:t>5.1</w:t>
        <w:tab/>
        <w:t>Minimum Annual Payments</w:t>
      </w:r>
    </w:p>
    <w:p>
      <w:pPr>
        <w:pStyle w:val="VEBodyText"/>
        <w:rPr/>
      </w:pPr>
      <w:r>
        <w:rPr/>
        <w:tab/>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VEBodyText"/>
        <w:rPr/>
      </w:pPr>
      <w:r>
        <w:rPr/>
      </w:r>
    </w:p>
    <w:p>
      <w:pPr>
        <w:pStyle w:val="VECenteredText"/>
        <w:rPr/>
      </w:pPr>
      <w:r>
        <w:rPr>
          <w:rStyle w:val="VEBold"/>
        </w:rPr>
        <w:t>LICENSE AGREEMENT</w:t>
      </w:r>
    </w:p>
    <w:p>
      <w:pPr>
        <w:pStyle w:val="VEBodyTextFLI"/>
        <w:rPr/>
      </w:pPr>
      <w:r>
        <w:rPr/>
        <w:t xml:space="preserve">THIS LICENSE AGREEMENT (this “Agreement”), dated as of [________,] 2001 (the “Effective Date”), is entered into by and between Enron Net Works LLC, a Delaware limited liability company (“Enron”), and Accenture LLP, an Illinois partnership (“Accenture”). </w:t>
      </w:r>
    </w:p>
    <w:p>
      <w:pPr>
        <w:pStyle w:val="VECenteredText"/>
        <w:rPr/>
      </w:pPr>
      <w:r>
        <w:rPr>
          <w:rStyle w:val="VEBold"/>
        </w:rPr>
        <w:t>Background Statement</w:t>
      </w:r>
    </w:p>
    <w:p>
      <w:pPr>
        <w:pStyle w:val="VEBodyTextFLI"/>
        <w:rPr/>
      </w:pPr>
      <w:r>
        <w:rPr/>
        <w:t xml:space="preserve">Enron operates a private, Internet-based electronic commodities trading platform through Enron’s website at www.enrononline.com (as further defined in Section </w:t>
      </w:r>
      <w:r>
        <w:rPr/>
        <w:fldChar w:fldCharType="begin"/>
      </w:r>
      <w:r>
        <w:rPr/>
        <w:instrText xml:space="preserve"> REF _Ref516039208 \r \r \h </w:instrText>
      </w:r>
      <w:r>
        <w:rPr/>
        <w:fldChar w:fldCharType="separate"/>
      </w:r>
      <w:r>
        <w:rPr/>
        <w:t>1.1</w:t>
      </w:r>
      <w:r>
        <w:rPr/>
        <w:fldChar w:fldCharType="end"/>
      </w:r>
      <w:r>
        <w:rPr/>
        <w:t>, “Enron Platform”), where Enron customers may purchase and sell certain goods and raw materials offered through the Enron Platform.  Accenture desires to acquire the right to receive customer-specific data from Enron relating to transactions consummated on the Enron Platform and the exclusive right (subject to certain exceptions) to redistribute such customer-specific data to Enron customers who consent to such disclosure on a “real-time” basis through a transaction support hub (“TSH”) to be developed, built, operated and maintained by Accenture.  Accenture also desires to use Enron’s SmartClient Software to receive the customer-specific data.  Through its TSH, Accenture will then re-format the data into a format that can be readily received by the Enron Customer, and Accenture will provide that data to such customer through its TSH Services.  Enron and Accenture wish to enter into this Agreement to consummate the foregoing, on the terms and conditions set forth herein.</w:t>
      </w:r>
    </w:p>
    <w:p>
      <w:pPr>
        <w:pStyle w:val="VEBodyTextFLI"/>
        <w:rPr/>
      </w:pPr>
      <w:r>
        <w:rPr/>
        <w:t>NOW, THEREFORE, in consideration of the mutual promises and covenants set forth herein, the Parties hereby agree as follows:</w:t>
      </w:r>
    </w:p>
    <w:p>
      <w:pPr>
        <w:pStyle w:val="VENumbered1"/>
        <w:numPr>
          <w:ilvl w:val="0"/>
          <w:numId w:val="7"/>
        </w:numPr>
        <w:ind w:hanging="0" w:start="0"/>
        <w:rPr/>
      </w:pPr>
      <w:bookmarkStart w:id="0" w:name="__RefHeading___Toc515639037"/>
      <w:bookmarkEnd w:id="0"/>
      <w:r>
        <w:rPr/>
        <w:br/>
        <w:t>DEFINITIONS</w:t>
      </w:r>
    </w:p>
    <w:p>
      <w:pPr>
        <w:pStyle w:val="VENumbered2"/>
        <w:numPr>
          <w:ilvl w:val="1"/>
          <w:numId w:val="7"/>
        </w:numPr>
        <w:ind w:hanging="0" w:start="0"/>
        <w:rPr>
          <w:vanish/>
          <w:color w:val="0000FF"/>
        </w:rPr>
      </w:pPr>
      <w:bookmarkStart w:id="1" w:name="__RefHeading___Toc515639038"/>
      <w:bookmarkStart w:id="2" w:name="_Ref516039208"/>
      <w:bookmarkEnd w:id="1"/>
      <w:r>
        <w:rPr/>
        <w:t>Definitions</w:t>
      </w:r>
      <w:bookmarkEnd w:id="2"/>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Accenture Customer Agreement</w:t>
      </w:r>
      <w:r>
        <w:rPr/>
        <w:t xml:space="preserve">” means the agreement between Accenture and each Accenture Customer, pursuant to which Accenture agrees to provide such customer with TSH Services.  </w:t>
      </w:r>
    </w:p>
    <w:p>
      <w:pPr>
        <w:pStyle w:val="VEBodyTextFLI"/>
        <w:rPr>
          <w:rStyle w:val="VEBold"/>
        </w:rPr>
      </w:pPr>
      <w:r>
        <w:rPr/>
        <w:t>“</w:t>
      </w:r>
      <w:r>
        <w:rPr>
          <w:rStyle w:val="VEUnderline"/>
        </w:rPr>
        <w:t>Accenture Operational Failure</w:t>
      </w:r>
      <w:r>
        <w:rPr/>
        <w:t xml:space="preserve">” means any failure of any aspect of the Accenture Systems (whether with respect to technology, personnel, or otherwise), with respect to which Enron provides to Accenture written notice and Accenture fails to cure such failure within thirty (30) </w:t>
      </w:r>
      <w:r>
        <w:rPr>
          <w:rStyle w:val="VEBold"/>
          <w:b w:val="false"/>
          <w:bCs/>
        </w:rPr>
        <w:t>days</w:t>
      </w:r>
      <w:r>
        <w:rPr/>
        <w:t xml:space="preserve"> and which could reasonably be expected to have a material adverse affect on the Enron Platform, its business or operations, or upon any Enron Customer.</w:t>
      </w:r>
    </w:p>
    <w:p>
      <w:pPr>
        <w:pStyle w:val="VEBodyTextFLI"/>
        <w:rPr/>
      </w:pPr>
      <w:r>
        <w:rPr/>
        <w:t>“</w:t>
      </w:r>
      <w:r>
        <w:rPr>
          <w:u w:val="single"/>
        </w:rPr>
        <w:t xml:space="preserve">Accenture </w:t>
      </w:r>
      <w:r>
        <w:rPr>
          <w:rStyle w:val="VEUnderline"/>
        </w:rPr>
        <w:t>Regulatory Event</w:t>
      </w:r>
      <w:r>
        <w:rPr/>
        <w:t>” means (a) any event brought about solely as a result of the execution or performance by Accenture of its obligations hereunder the result or effect of which is that any of Accenture, its Affiliates, their respective officers, directors, or employees, Accenture’s TSH,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Accenture or its Affiliates; or (b) an Enron Regulatory Event, the result or effect of which could reasonably be expected to have a material adverse effect on Accenture or its Affiliates.</w:t>
      </w:r>
    </w:p>
    <w:p>
      <w:pPr>
        <w:pStyle w:val="VEBodyTextFLI"/>
        <w:rPr/>
      </w:pPr>
      <w:r>
        <w:rPr/>
        <w:t>“</w:t>
      </w:r>
      <w:r>
        <w:rPr>
          <w:rStyle w:val="VEUnderline"/>
        </w:rPr>
        <w:t>Accenture Systems</w:t>
      </w:r>
      <w:r>
        <w:rPr/>
        <w:t>” means the technology platform under the control of Accenture, an Affiliate of Accenture or a third party contractor retained by Accenture or its Affiliate, on which Accenture’s TSH is operated.</w:t>
      </w:r>
    </w:p>
    <w:p>
      <w:pPr>
        <w:pStyle w:val="VEBodyTextFLI"/>
        <w:rPr/>
      </w:pPr>
      <w:r>
        <w:rPr/>
        <w:t>“</w:t>
      </w:r>
      <w:r>
        <w:rPr>
          <w:rStyle w:val="VEUnderline"/>
        </w:rPr>
        <w:t>Affiliate</w:t>
      </w:r>
      <w:r>
        <w:rPr/>
        <w:t>” shall mean, with respect to any person or entity, (a) any person or entity that directly, or indirectly through one or more intermediaries, controls, is controlled by or is under common control with such person or entity or (b)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 and with respect to Accenture, in addition to the foregoing, all partnerships, firms, corporations, entities, individuals, and their successors and assigns, wherever located, which together comprise the Accenture Worldwide Organization whether by virtue of their member firm interfirm agreements with Accenture Partners Societe Cooperative or any successor thereto acting to coordinate the business of such entities or by virtue of a contract with or ownership, direct or indirect, by a member firm or otherwise being under control, directly or indirectly, of one or more member firms and which are thereby deemed part of the Accenture Worldwide Organization.  For purposes of this definition, “control” (including, with correlative meanings, the terms “controlled by” and “under common control with”), as used with respect to any Person, means the possession, directly or indirectly, of the power to direct or cause the direction of the management or policies of such Person, whether through the ownership of voting securities, by contract or otherwise.</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w:t>
      </w:r>
    </w:p>
    <w:p>
      <w:pPr>
        <w:pStyle w:val="VEBodyTextFLI"/>
        <w:rPr/>
      </w:pPr>
      <w:r>
        <w:rPr/>
        <w:t>“</w:t>
      </w:r>
      <w:r>
        <w:rPr>
          <w:u w:val="single"/>
        </w:rPr>
        <w:t>Contract Year</w:t>
      </w:r>
      <w:r>
        <w:rPr/>
        <w:t>” means the twelve month period beginning on the first day of the month immediately following the Enron Data Feed Connection Date, and each subsequent twelve month period commencing on the anniversary of the Enron Data Feed Connection Date during the Term.</w:t>
      </w:r>
    </w:p>
    <w:p>
      <w:pPr>
        <w:pStyle w:val="VEBodyTextFLI"/>
        <w:rPr>
          <w:rStyle w:val="VEBold"/>
          <w:b w:val="false"/>
          <w:bCs/>
        </w:rPr>
      </w:pPr>
      <w:r>
        <w:rPr/>
        <w:t>“</w:t>
      </w:r>
      <w:r>
        <w:rPr>
          <w:rStyle w:val="VEUnderline"/>
        </w:rPr>
        <w:t>Customer-Specific Transaction Data</w:t>
      </w:r>
      <w:r>
        <w:rPr/>
        <w:t>” means the transaction data that Enron makes available to a Enron Customer through the Enron Platform relating to that Enron Customer’s transactions consummated on the Enron Platform in the format described in the External Interface Document, which transaction data contains Readable Transaction Terms that are readable by Accenture through use of the SmartClient Software.  All transaction data generated by trades that are not consummated through the Enron Platform are specifically excluded from Customer-Specific Transaction Data.</w:t>
      </w:r>
    </w:p>
    <w:p>
      <w:pPr>
        <w:pStyle w:val="VEBodyTextFLI"/>
        <w:rPr>
          <w:rStyle w:val="VEBold"/>
        </w:rPr>
      </w:pPr>
      <w:r>
        <w:rPr/>
        <w:t>“</w:t>
      </w:r>
      <w:r>
        <w:rPr>
          <w:rStyle w:val="VEUnderline"/>
        </w:rPr>
        <w:t>Enron Customer</w:t>
      </w:r>
      <w:r>
        <w:rPr/>
        <w:t xml:space="preserve">” means any customer of Enron who has authority to access those portions of the Enron Platform that require a user identification number and password.  </w:t>
      </w:r>
    </w:p>
    <w:p>
      <w:pPr>
        <w:pStyle w:val="VEBodyTextFLI"/>
        <w:rPr>
          <w:b/>
          <w:bCs/>
        </w:rPr>
      </w:pPr>
      <w:r>
        <w:rPr/>
        <w:t>“</w:t>
      </w:r>
      <w:r>
        <w:rPr>
          <w:rStyle w:val="VEUnderline"/>
        </w:rPr>
        <w:t>Enron Data Feed</w:t>
      </w:r>
      <w:r>
        <w:rPr/>
        <w:t>” means the technology platform by and through which Enron will deliver the Customer-Specific Transaction Data to Accenture for use by Accenture in accordance with this Agreement, including the Enron Server and SmartClient Software, as further described in the External Interface Document.</w:t>
      </w:r>
    </w:p>
    <w:p>
      <w:pPr>
        <w:pStyle w:val="VEBodyTextFLI"/>
        <w:rPr/>
      </w:pPr>
      <w:r>
        <w:rPr/>
        <w:t>“</w:t>
      </w:r>
      <w:r>
        <w:rPr>
          <w:u w:val="single"/>
        </w:rPr>
        <w:t xml:space="preserve">Enron </w:t>
      </w:r>
      <w:r>
        <w:rPr>
          <w:rStyle w:val="VEUnderline"/>
        </w:rPr>
        <w:t>Data Feed Connection Date</w:t>
      </w:r>
      <w:r>
        <w:rPr/>
        <w:t xml:space="preserve">” means the date that the Enron Data Feed is completed, tested and ready for use in conjunction with the use by Accenture.  </w:t>
      </w:r>
    </w:p>
    <w:p>
      <w:pPr>
        <w:pStyle w:val="VEBodyTextFLI"/>
        <w:rPr/>
      </w:pPr>
      <w:r>
        <w:rPr/>
        <w:t>“</w:t>
      </w:r>
      <w:r>
        <w:rPr>
          <w:u w:val="single"/>
        </w:rPr>
        <w:t xml:space="preserve">Enron </w:t>
      </w:r>
      <w:r>
        <w:rPr>
          <w:rStyle w:val="VEUnderline"/>
        </w:rPr>
        <w:t>Data Feed Connection Deadline</w:t>
      </w:r>
      <w:r>
        <w:rPr/>
        <w:t xml:space="preserve">” means the date that is one hundred and twenty (120) days following the Effective Date, or such other date as is mutually agreed by the Parties.  </w:t>
      </w:r>
    </w:p>
    <w:p>
      <w:pPr>
        <w:pStyle w:val="VEBodyTextFLI"/>
        <w:rPr/>
      </w:pPr>
      <w:r>
        <w:rPr/>
        <w:t>“</w:t>
      </w:r>
      <w:r>
        <w:rPr>
          <w:u w:val="single"/>
        </w:rPr>
        <w:t xml:space="preserve">Enron </w:t>
      </w:r>
      <w:r>
        <w:rPr>
          <w:rStyle w:val="VEUnderline"/>
        </w:rPr>
        <w:t>Operational Failure</w:t>
      </w:r>
      <w:r>
        <w:rPr/>
        <w:t xml:space="preserve">” means any failure of any aspect of the Enron Data Feed (whether with respect to technology, personnel, or otherwise) of which Accenture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Accenture’s TSH.  </w:t>
      </w:r>
    </w:p>
    <w:p>
      <w:pPr>
        <w:pStyle w:val="VEBodyTextFLI"/>
        <w:rPr/>
      </w:pPr>
      <w:r>
        <w:rPr/>
        <w:t>“</w:t>
      </w:r>
      <w:r>
        <w:rPr>
          <w:rStyle w:val="VEUnderline"/>
        </w:rPr>
        <w:t>Enron Platform</w:t>
      </w:r>
      <w:r>
        <w:rPr/>
        <w:t>” means the proprietary electronic trading facility owned or operated by Enron, as currently operated through the website located at www.enrononline.com., and any successor electronic trading facility, but shall not include any new electronic trading facilities owned and operated by Enron that list products substantially dissimilar to those listed on the Enron Platform as of the Effective Date.</w:t>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Platform,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an Accenture Regulatory Event, the result or effect of which could reasonably be expected to have a material adverse effect on Enron or its Affiliates.</w:t>
      </w:r>
    </w:p>
    <w:p>
      <w:pPr>
        <w:pStyle w:val="VEBodyTextFLI"/>
        <w:rPr/>
      </w:pPr>
      <w:r>
        <w:rPr/>
        <w:t>“</w:t>
      </w:r>
      <w:r>
        <w:rPr>
          <w:u w:val="single"/>
        </w:rPr>
        <w:t>External Interface Document</w:t>
      </w:r>
      <w:r>
        <w:rPr/>
        <w:t xml:space="preserve">” means the EnronOnline Transaction Data Feed – External Interface Document attached hereto as Exhibit A, as amended from time to time in accordance with Section </w:t>
      </w:r>
      <w:r>
        <w:rPr/>
        <w:fldChar w:fldCharType="begin"/>
      </w:r>
      <w:r>
        <w:rPr/>
        <w:instrText xml:space="preserve"> REF _Ref516191708 \w \w \h </w:instrText>
      </w:r>
      <w:r>
        <w:rPr/>
        <w:fldChar w:fldCharType="separate"/>
      </w:r>
      <w:r>
        <w:rPr/>
        <w:t>(b)</w:t>
      </w:r>
      <w:r>
        <w:rPr/>
        <w:fldChar w:fldCharType="end"/>
      </w:r>
      <w:r>
        <w:rPr/>
        <w:t>.</w:t>
      </w:r>
    </w:p>
    <w:p>
      <w:pPr>
        <w:pStyle w:val="VEBodyTextFLI"/>
        <w:rPr/>
      </w:pPr>
      <w:r>
        <w:rPr/>
        <w:t>“</w:t>
      </w:r>
      <w:r>
        <w:rPr>
          <w:rStyle w:val="VEUnderline"/>
        </w:rPr>
        <w:t>Gross TSH Revenues</w:t>
      </w:r>
      <w:r>
        <w:rPr/>
        <w:t xml:space="preserve">” shall mean any and all of the fees (including any maintenance and transaction fees) paid or payable by each Qualified Customer to Accenture related to such Qualified Customer’s receipt of its Customer-Specific Transaction Data; provided, that under no circumstances shall Gross TSH Revenues include (i) expense reimbursement from Qualified Customers, (ii) revenues related to the sale or lease of equipment or hardware, or the license or sublicense of Accenture-owned software or third party software, to Qualified Customers for their use in connection with the Transaction Data, (iii) the amount of any sale, use, excise, value-added, services, consumption or other tax that is assessed on the services provided by Accenture, or the provision of the Customer-Specific Transaction Data to Customers, (iv) interest income on receivables or related to the financing of any Qualified Customer contract with Accenture, (v) the licensing of separately identified and priced software that is developed, licensed or acquired by Accenture which Accenture may combine for distribution purposes with the Transaction Data, and (vi) revenues attributable to consulting, outsourcing systems integration or other services performed for Qualified Customers </w:t>
      </w:r>
      <w:r>
        <w:rPr>
          <w:b/>
          <w:bCs/>
        </w:rPr>
        <w:t>[</w:t>
      </w:r>
      <w:r>
        <w:rPr/>
        <w:t>or otherwise in connection with Accenture’s TSH</w:t>
      </w:r>
      <w:r>
        <w:rPr>
          <w:rStyle w:val="VEBold"/>
        </w:rPr>
        <w:t xml:space="preserve">.] </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u w:val="single"/>
        </w:rPr>
        <w:t>Minimum Annual Payment</w:t>
      </w:r>
      <w:r>
        <w:rPr/>
        <w:t xml:space="preserve">” means, with respect to a Contract Year, the amount set forth opposite such Contract Year in Schedule </w:t>
      </w:r>
      <w:r>
        <w:rPr/>
        <w:fldChar w:fldCharType="begin"/>
      </w:r>
      <w:r>
        <w:rPr/>
        <w:instrText xml:space="preserve"> REF _Ref515633754 \w \w \h </w:instrText>
      </w:r>
      <w:r>
        <w:rPr/>
        <w:fldChar w:fldCharType="separate"/>
      </w:r>
      <w:r>
        <w:rPr/>
        <w:t>5.1</w:t>
      </w:r>
      <w:r>
        <w:rPr/>
        <w:fldChar w:fldCharType="end"/>
      </w:r>
      <w:r>
        <w:rPr/>
        <w:t>.</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Customer</w:t>
      </w:r>
      <w:r>
        <w:rPr/>
        <w:t xml:space="preserve">” means any Enron Customer who (i) enters into a Accenture Customer Agreement to purchase TSH Services from Accenture, and (ii) provides Enron with a Consent and Release, but only as long as both (i) and (ii) are in full force and effect and have not expired, terminated, or been withdrawn.  </w:t>
      </w:r>
    </w:p>
    <w:p>
      <w:pPr>
        <w:pStyle w:val="VEBodyTextFLI"/>
        <w:rPr/>
      </w:pPr>
      <w:r>
        <w:rPr/>
        <w:t>“</w:t>
      </w:r>
      <w:r>
        <w:rPr>
          <w:u w:val="single"/>
        </w:rPr>
        <w:t>Readable Transaction Terms</w:t>
      </w:r>
      <w:r>
        <w:rPr/>
        <w:t>” means those terms relating to any trade consummated on the Enron Platform that will be decoded by the SmartClient Software.</w:t>
      </w:r>
    </w:p>
    <w:p>
      <w:pPr>
        <w:pStyle w:val="VEBodyTextFLI"/>
        <w:rPr/>
      </w:pPr>
      <w:r>
        <w:rPr/>
        <w:t>“</w:t>
      </w:r>
      <w:r>
        <w:rPr>
          <w:rStyle w:val="VEUnderline"/>
        </w:rPr>
        <w:t>Real-time Basis</w:t>
      </w:r>
      <w:r>
        <w:rPr/>
        <w:t>” means, with respect to any data transmission relating to a trade, the initiation by the Enron Systems of a data transmission in respect of such trade in the same instant that the data transmission to the Enron Customer making such trade is initiated.</w:t>
      </w:r>
    </w:p>
    <w:p>
      <w:pPr>
        <w:pStyle w:val="VEBodyTextFLI"/>
        <w:rPr/>
      </w:pPr>
      <w:r>
        <w:rPr/>
        <w:t>“</w:t>
      </w:r>
      <w:r>
        <w:rPr>
          <w:rStyle w:val="VEUnderline"/>
        </w:rPr>
        <w:t>Service Levels</w:t>
      </w:r>
      <w:r>
        <w:rPr/>
        <w:t xml:space="preserve">” mean those service levels set forth in Schedule </w:t>
      </w:r>
      <w:r>
        <w:rPr/>
        <w:fldChar w:fldCharType="begin"/>
      </w:r>
      <w:r>
        <w:rPr/>
        <w:instrText xml:space="preserve"> REF _Ref515593837 \r \r \h </w:instrText>
      </w:r>
      <w:r>
        <w:rPr/>
        <w:fldChar w:fldCharType="separate"/>
      </w:r>
      <w:r>
        <w:rPr/>
        <w:t>2.5</w:t>
      </w:r>
      <w:r>
        <w:rPr/>
        <w:fldChar w:fldCharType="end"/>
      </w:r>
      <w:r>
        <w:rPr/>
        <w:t>, as modified from time to time in accordance with the terms of this Agreement.</w:t>
      </w:r>
    </w:p>
    <w:p>
      <w:pPr>
        <w:pStyle w:val="VEBodyTextFLI"/>
        <w:rPr/>
      </w:pPr>
      <w:r>
        <w:rPr/>
        <w:t>“</w:t>
      </w:r>
      <w:r>
        <w:rPr>
          <w:rStyle w:val="VEUnderline"/>
        </w:rPr>
        <w:t>SmartClient Software</w:t>
      </w:r>
      <w:r>
        <w:rPr/>
        <w:t xml:space="preserve">” means the software application process installed and run on the Accenture Systems as part of the Enron Data Feed, and any updates, improvements, or new versions that Enron makes generally available to its licensees for no additional license fee.  </w:t>
      </w:r>
    </w:p>
    <w:p>
      <w:pPr>
        <w:pStyle w:val="VEBodyTextFLI"/>
        <w:rPr/>
      </w:pPr>
      <w:r>
        <w:rPr>
          <w:rStyle w:val="VEBold"/>
          <w:b w:val="false"/>
          <w:bCs/>
        </w:rPr>
        <w:t>“</w:t>
      </w:r>
      <w:r>
        <w:rPr>
          <w:rStyle w:val="VEUnderline"/>
        </w:rPr>
        <w:t>Software Derivatives</w:t>
      </w:r>
      <w:r>
        <w:rPr>
          <w:rStyle w:val="VEBold"/>
          <w:b w:val="false"/>
          <w:bCs/>
        </w:rPr>
        <w:t>” means any correction, update, enhancement, improvement, translation, new release or other modification that is considered a “derivative work” (as that term is defined in the United States Copyright Act, 17 U.S.C. §101) of the SmartClient Software.</w:t>
      </w:r>
    </w:p>
    <w:p>
      <w:pPr>
        <w:pStyle w:val="VEBodyTextFLI"/>
        <w:rPr>
          <w:bCs/>
        </w:rPr>
      </w:pPr>
      <w:r>
        <w:rPr>
          <w:rStyle w:val="VEBold"/>
          <w:b w:val="false"/>
          <w:bCs/>
        </w:rPr>
        <w:t>“</w:t>
      </w:r>
      <w:r>
        <w:rPr>
          <w:rStyle w:val="VEBold"/>
          <w:b w:val="false"/>
          <w:bCs/>
          <w:u w:val="single"/>
        </w:rPr>
        <w:t>Standard Transaction Fee</w:t>
      </w:r>
      <w:r>
        <w:rPr>
          <w:rStyle w:val="VEBold"/>
          <w:b w:val="false"/>
          <w:bCs/>
        </w:rPr>
        <w:t xml:space="preserve">” means the minimum amount owed by Accenture to Enron in respect of each Qualified Customer for the provision of the TSH Services, which fee shall be calculated and adjusted as set forth on Exhibit C.  </w:t>
      </w:r>
    </w:p>
    <w:p>
      <w:pPr>
        <w:pStyle w:val="VEBodyTextFLI"/>
        <w:rPr/>
      </w:pPr>
      <w:r>
        <w:rPr/>
        <w:t>“</w:t>
      </w:r>
      <w:r>
        <w:rPr>
          <w:rStyle w:val="VEUnderline"/>
        </w:rPr>
        <w:t>TSH Launch Date</w:t>
      </w:r>
      <w:r>
        <w:rPr/>
        <w:t>” means the first date on which a Qualified Customer receives Customer-Specific Transaction Data via the TSH Services.</w:t>
      </w:r>
    </w:p>
    <w:p>
      <w:pPr>
        <w:pStyle w:val="VEBodyTextFLI"/>
        <w:rPr/>
      </w:pPr>
      <w:r>
        <w:rPr/>
        <w:t>“</w:t>
      </w:r>
      <w:r>
        <w:rPr>
          <w:rStyle w:val="VEUnderline"/>
        </w:rPr>
        <w:t>TSH Services</w:t>
      </w:r>
      <w:r>
        <w:rPr/>
        <w:t>” means the Customer –Specific Transaction Data transmission services to be provided by Accenture to Qualified Customers.</w:t>
      </w:r>
    </w:p>
    <w:p>
      <w:pPr>
        <w:pStyle w:val="VENumbered2"/>
        <w:numPr>
          <w:ilvl w:val="1"/>
          <w:numId w:val="7"/>
        </w:numPr>
        <w:ind w:hanging="0" w:start="0"/>
        <w:rPr>
          <w:vanish/>
          <w:color w:val="0000FF"/>
        </w:rPr>
      </w:pPr>
      <w:bookmarkStart w:id="3" w:name="__RefHeading___Toc515639039"/>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r>
      <w:r>
        <w:rPr/>
        <w:fldChar w:fldCharType="begin"/>
      </w:r>
      <w:r>
        <w:rPr/>
        <w:instrText xml:space="preserve"> REF _Ref515858801 \w \w \h </w:instrText>
      </w:r>
      <w:r>
        <w:rPr/>
        <w:fldChar w:fldCharType="separate"/>
      </w:r>
      <w:r>
        <w:rPr/>
        <w:t>(c)</w:t>
      </w:r>
      <w:r>
        <w:rPr/>
        <w:fldChar w:fldCharType="end"/>
      </w:r>
    </w:p>
    <w:p>
      <w:pPr>
        <w:pStyle w:val="VEBodyTextNoSpace"/>
        <w:tabs>
          <w:tab w:val="clear" w:pos="720"/>
          <w:tab w:val="left" w:pos="6192" w:leader="dot"/>
        </w:tabs>
        <w:ind w:start="1440" w:end="0"/>
        <w:rPr/>
      </w:pPr>
      <w:r>
        <w:rPr/>
        <w:t>Accenture Indemnitee</w:t>
        <w:tab/>
      </w:r>
      <w:r>
        <w:rPr/>
        <w:fldChar w:fldCharType="begin"/>
      </w:r>
      <w:r>
        <w:rPr/>
        <w:instrText xml:space="preserve"> REF _Ref515858845 \w \w \h </w:instrText>
      </w:r>
      <w:r>
        <w:rPr/>
        <w:fldChar w:fldCharType="separate"/>
      </w:r>
      <w:r>
        <w:rPr/>
        <w:t>(b)</w:t>
      </w:r>
      <w:r>
        <w:rPr/>
        <w:fldChar w:fldCharType="end"/>
      </w:r>
    </w:p>
    <w:p>
      <w:pPr>
        <w:pStyle w:val="VEBodyTextNoSpace"/>
        <w:tabs>
          <w:tab w:val="clear" w:pos="720"/>
          <w:tab w:val="left" w:pos="6192" w:leader="dot"/>
        </w:tabs>
        <w:ind w:start="1440" w:end="0"/>
        <w:rPr/>
      </w:pPr>
      <w:r>
        <w:rPr/>
        <w:t>Accenture Works</w:t>
        <w:tab/>
      </w:r>
      <w:r>
        <w:rPr/>
        <w:fldChar w:fldCharType="begin"/>
      </w:r>
      <w:r>
        <w:rPr/>
        <w:instrText xml:space="preserve"> REF _Ref516191060 \w \w \h </w:instrText>
      </w:r>
      <w:r>
        <w:rPr/>
        <w:fldChar w:fldCharType="separate"/>
      </w:r>
      <w:r>
        <w:rPr/>
        <w:t>(b)</w:t>
      </w:r>
      <w:r>
        <w:rPr/>
        <w:fldChar w:fldCharType="end"/>
      </w:r>
    </w:p>
    <w:p>
      <w:pPr>
        <w:pStyle w:val="VEBodyTextNoSpace"/>
        <w:tabs>
          <w:tab w:val="clear" w:pos="720"/>
          <w:tab w:val="left" w:pos="6192" w:leader="dot"/>
        </w:tabs>
        <w:ind w:start="1440" w:end="0"/>
        <w:rPr/>
      </w:pPr>
      <w:r>
        <w:rPr/>
        <w:t>Actions</w:t>
        <w:tab/>
      </w:r>
      <w:r>
        <w:rPr/>
        <w:fldChar w:fldCharType="begin"/>
      </w:r>
      <w:r>
        <w:rPr/>
        <w:instrText xml:space="preserve"> REF _Ref515866846 \w \w \h </w:instrText>
      </w:r>
      <w:r>
        <w:rPr/>
        <w:fldChar w:fldCharType="separate"/>
      </w:r>
      <w:r>
        <w:rPr/>
        <w:t>(a)</w:t>
      </w:r>
      <w:r>
        <w:rPr/>
        <w:fldChar w:fldCharType="end"/>
      </w:r>
    </w:p>
    <w:p>
      <w:pPr>
        <w:pStyle w:val="VEBodyTextNoSpace"/>
        <w:tabs>
          <w:tab w:val="clear" w:pos="720"/>
          <w:tab w:val="left" w:pos="6192" w:leader="dot"/>
        </w:tabs>
        <w:ind w:start="1440" w:end="0"/>
        <w:rPr/>
      </w:pPr>
      <w:r>
        <w:rPr/>
        <w:t>Arbitration Notice</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Confidential Information</w:t>
        <w:tab/>
      </w:r>
      <w:r>
        <w:rPr/>
        <w:fldChar w:fldCharType="begin"/>
      </w:r>
      <w:r>
        <w:rPr/>
        <w:instrText xml:space="preserve"> REF _Ref515859113 \w \w \h </w:instrText>
      </w:r>
      <w:r>
        <w:rPr/>
        <w:fldChar w:fldCharType="separate"/>
      </w:r>
      <w:r>
        <w:rPr/>
        <w:t>(a)</w:t>
      </w:r>
      <w:r>
        <w:rPr/>
        <w:fldChar w:fldCharType="end"/>
      </w:r>
    </w:p>
    <w:p>
      <w:pPr>
        <w:pStyle w:val="VEBodyTextNoSpace"/>
        <w:tabs>
          <w:tab w:val="clear" w:pos="720"/>
          <w:tab w:val="left" w:pos="6192" w:leader="dot"/>
        </w:tabs>
        <w:ind w:start="1440" w:end="0"/>
        <w:rPr/>
      </w:pPr>
      <w:r>
        <w:rPr/>
        <w:t>Consent and Release</w:t>
        <w:tab/>
      </w:r>
      <w:r>
        <w:rPr/>
        <w:fldChar w:fldCharType="begin"/>
      </w:r>
      <w:r>
        <w:rPr/>
        <w:instrText xml:space="preserve"> REF _Ref515859144 \w \w \h </w:instrText>
      </w:r>
      <w:r>
        <w:rPr/>
        <w:fldChar w:fldCharType="separate"/>
      </w:r>
      <w:r>
        <w:rPr/>
        <w:t>(a)</w:t>
      </w:r>
      <w:r>
        <w:rPr/>
        <w:fldChar w:fldCharType="end"/>
      </w:r>
    </w:p>
    <w:p>
      <w:pPr>
        <w:pStyle w:val="VEBodyTextNoSpace"/>
        <w:tabs>
          <w:tab w:val="clear" w:pos="720"/>
          <w:tab w:val="left" w:pos="6192" w:leader="dot"/>
        </w:tabs>
        <w:ind w:start="1440" w:end="0"/>
        <w:rPr/>
      </w:pPr>
      <w:r>
        <w:rPr/>
        <w:t>Effective Date</w:t>
        <w:tab/>
        <w:t>Opening Paragraph</w:t>
      </w:r>
    </w:p>
    <w:p>
      <w:pPr>
        <w:pStyle w:val="VEBodyTextNoSpace"/>
        <w:tabs>
          <w:tab w:val="clear" w:pos="720"/>
          <w:tab w:val="left" w:pos="6192" w:leader="dot"/>
        </w:tabs>
        <w:ind w:start="1440" w:end="0"/>
        <w:rPr/>
      </w:pPr>
      <w:r>
        <w:rPr/>
        <w:t>Enron Indemnitee</w:t>
        <w:tab/>
      </w:r>
      <w:r>
        <w:rPr/>
        <w:fldChar w:fldCharType="begin"/>
      </w:r>
      <w:r>
        <w:rPr/>
        <w:instrText xml:space="preserve"> REF _Ref515858863 \w \w \h </w:instrText>
      </w:r>
      <w:r>
        <w:rPr/>
        <w:fldChar w:fldCharType="separate"/>
      </w:r>
      <w:r>
        <w:rPr/>
        <w:t>(a)</w:t>
      </w:r>
      <w:r>
        <w:rPr/>
        <w:fldChar w:fldCharType="end"/>
      </w:r>
    </w:p>
    <w:p>
      <w:pPr>
        <w:pStyle w:val="VEBodyTextNoSpace"/>
        <w:tabs>
          <w:tab w:val="clear" w:pos="720"/>
          <w:tab w:val="left" w:pos="6192" w:leader="dot"/>
        </w:tabs>
        <w:ind w:start="1440" w:end="0"/>
        <w:rPr/>
      </w:pPr>
      <w:r>
        <w:rPr/>
        <w:t>ETA</w:t>
        <w:tab/>
      </w:r>
      <w:r>
        <w:rPr/>
        <w:fldChar w:fldCharType="begin"/>
      </w:r>
      <w:r>
        <w:rPr/>
        <w:instrText xml:space="preserve"> REF _Ref515858914 \w \w \h </w:instrText>
      </w:r>
      <w:r>
        <w:rPr/>
        <w:fldChar w:fldCharType="separate"/>
      </w:r>
      <w:r>
        <w:rPr/>
        <w:t>(c)</w:t>
      </w:r>
      <w:r>
        <w:rPr/>
        <w:fldChar w:fldCharType="end"/>
      </w:r>
    </w:p>
    <w:p>
      <w:pPr>
        <w:pStyle w:val="VEBodyTextNoSpace"/>
        <w:tabs>
          <w:tab w:val="clear" w:pos="720"/>
          <w:tab w:val="left" w:pos="6192" w:leader="dot"/>
        </w:tabs>
        <w:ind w:start="1440" w:end="0"/>
        <w:rPr/>
      </w:pPr>
      <w:r>
        <w:rPr/>
        <w:t>Enron Payments</w:t>
        <w:tab/>
      </w:r>
      <w:r>
        <w:rPr/>
        <w:fldChar w:fldCharType="begin"/>
      </w:r>
      <w:r>
        <w:rPr/>
        <w:instrText xml:space="preserve"> REF _Ref515634554 \w \w \h </w:instrText>
      </w:r>
      <w:r>
        <w:rPr/>
        <w:fldChar w:fldCharType="separate"/>
      </w:r>
      <w:r>
        <w:rPr/>
        <w:t>ARTICLE IV(i)</w:t>
      </w:r>
      <w:r>
        <w:rPr/>
        <w:fldChar w:fldCharType="end"/>
      </w:r>
    </w:p>
    <w:p>
      <w:pPr>
        <w:pStyle w:val="VEBodyTextNoSpace"/>
        <w:tabs>
          <w:tab w:val="clear" w:pos="720"/>
          <w:tab w:val="left" w:pos="6192" w:leader="dot"/>
        </w:tabs>
        <w:ind w:start="1440" w:end="0"/>
        <w:rPr/>
      </w:pPr>
      <w:r>
        <w:rPr/>
        <w:t>Infringement Claims</w:t>
        <w:tab/>
      </w:r>
      <w:r>
        <w:rPr/>
        <w:fldChar w:fldCharType="begin"/>
      </w:r>
      <w:r>
        <w:rPr/>
        <w:instrText xml:space="preserve"> REF _Ref515695521 \w \w \h </w:instrText>
      </w:r>
      <w:r>
        <w:rPr/>
        <w:fldChar w:fldCharType="separate"/>
      </w:r>
      <w:r>
        <w:rPr/>
        <w:t>(a)</w:t>
      </w:r>
      <w:r>
        <w:rPr/>
        <w:fldChar w:fldCharType="end"/>
      </w:r>
    </w:p>
    <w:p>
      <w:pPr>
        <w:pStyle w:val="VEBodyTextNoSpace"/>
        <w:tabs>
          <w:tab w:val="clear" w:pos="720"/>
          <w:tab w:val="left" w:pos="6192" w:leader="dot"/>
        </w:tabs>
        <w:ind w:start="1440" w:end="0"/>
        <w:rPr/>
      </w:pPr>
      <w:r>
        <w:rPr/>
        <w:t>Non-Referring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Performing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Referring Party</w:t>
        <w:tab/>
      </w:r>
      <w:r>
        <w:rPr/>
        <w:fldChar w:fldCharType="begin"/>
      </w:r>
      <w:r>
        <w:rPr/>
        <w:instrText xml:space="preserve"> REF _Ref515866659 \w \w \h </w:instrText>
      </w:r>
      <w:r>
        <w:rPr/>
        <w:fldChar w:fldCharType="separate"/>
      </w:r>
      <w:r>
        <w:rPr/>
        <w:t>(b)</w:t>
      </w:r>
      <w:r>
        <w:rPr/>
        <w:fldChar w:fldCharType="end"/>
      </w:r>
    </w:p>
    <w:p>
      <w:pPr>
        <w:pStyle w:val="VEBodyTextNoSpace"/>
        <w:tabs>
          <w:tab w:val="clear" w:pos="720"/>
          <w:tab w:val="left" w:pos="6192" w:leader="dot"/>
        </w:tabs>
        <w:ind w:start="1440" w:end="0"/>
        <w:rPr/>
      </w:pPr>
      <w:r>
        <w:rPr/>
        <w:t>Requesting Party</w:t>
        <w:tab/>
      </w:r>
      <w:r>
        <w:rPr/>
        <w:fldChar w:fldCharType="begin"/>
      </w:r>
      <w:r>
        <w:rPr/>
        <w:instrText xml:space="preserve"> REF _Ref515858956 \w \w \h </w:instrText>
      </w:r>
      <w:r>
        <w:rPr/>
        <w:fldChar w:fldCharType="separate"/>
      </w:r>
      <w:r>
        <w:rPr/>
        <w:t>(a)</w:t>
      </w:r>
      <w:r>
        <w:rPr/>
        <w:fldChar w:fldCharType="end"/>
      </w:r>
    </w:p>
    <w:p>
      <w:pPr>
        <w:pStyle w:val="VEBodyTextNoSpace"/>
        <w:tabs>
          <w:tab w:val="clear" w:pos="720"/>
          <w:tab w:val="left" w:pos="6192" w:leader="dot"/>
        </w:tabs>
        <w:ind w:start="1440" w:end="0"/>
        <w:rPr/>
      </w:pPr>
      <w:r>
        <w:rPr/>
        <w:t>Term</w:t>
        <w:tab/>
      </w:r>
      <w:r>
        <w:rPr/>
        <w:fldChar w:fldCharType="begin"/>
      </w:r>
      <w:r>
        <w:rPr/>
        <w:instrText xml:space="preserve"> REF _Ref515859061 \w \w \h </w:instrText>
      </w:r>
      <w:r>
        <w:rPr/>
        <w:fldChar w:fldCharType="separate"/>
      </w:r>
      <w:r>
        <w:rPr/>
        <w:t>7.1</w:t>
      </w:r>
      <w:r>
        <w:rPr/>
        <w:fldChar w:fldCharType="end"/>
      </w:r>
    </w:p>
    <w:p>
      <w:pPr>
        <w:pStyle w:val="VEBodyTextNoSpace"/>
        <w:tabs>
          <w:tab w:val="clear" w:pos="720"/>
          <w:tab w:val="left" w:pos="6192" w:leader="dot"/>
        </w:tabs>
        <w:ind w:start="1440" w:end="0"/>
        <w:rPr/>
      </w:pPr>
      <w:r>
        <w:rPr/>
        <w:t>TSH</w:t>
        <w:tab/>
        <w:t>Background Statement</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4" w:name="__RefHeading___Toc515639040"/>
      <w:bookmarkEnd w:id="4"/>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bookmarkStart w:id="5" w:name="__RefHeading___Toc515639041"/>
      <w:bookmarkEnd w:id="5"/>
      <w:r>
        <w:rPr/>
        <w:br/>
        <w:t>ENRON DATA FEED</w:t>
      </w:r>
    </w:p>
    <w:p>
      <w:pPr>
        <w:pStyle w:val="VENumbered2"/>
        <w:numPr>
          <w:ilvl w:val="1"/>
          <w:numId w:val="7"/>
        </w:numPr>
        <w:ind w:hanging="0" w:start="0"/>
        <w:rPr/>
      </w:pPr>
      <w:bookmarkStart w:id="6" w:name="__RefHeading___Toc515639042"/>
      <w:bookmarkEnd w:id="6"/>
      <w:r>
        <w:rPr/>
        <w:t>Development, Testing and Acceptance of the Enron Data Feed.</w:t>
      </w:r>
    </w:p>
    <w:p>
      <w:pPr>
        <w:pStyle w:val="VENumbered3"/>
        <w:numPr>
          <w:ilvl w:val="2"/>
          <w:numId w:val="7"/>
        </w:numPr>
        <w:ind w:hanging="0" w:start="0"/>
        <w:rPr/>
      </w:pPr>
      <w:r>
        <w:rPr/>
        <w:t xml:space="preserve">Within the first one hundred and twenty (120) days following the Effective Date, </w:t>
      </w:r>
      <w:r>
        <w:rPr>
          <w:rStyle w:val="VEBold"/>
          <w:b w:val="false"/>
          <w:bCs/>
        </w:rPr>
        <w:t>Enron will use commercially reasonable efforts to design, develop and test the Enron Data Feed that will be used to deliver the Customer-Specific Transaction Data to Accenture.</w:t>
      </w:r>
      <w:r>
        <w:rPr>
          <w:rStyle w:val="VEBold"/>
        </w:rPr>
        <w:t xml:space="preserve">  </w:t>
      </w:r>
      <w:r>
        <w:rPr/>
        <w:t>The Enron Data Feed shall be designed, developed, tested and operated so as to ensure, to Enron’s satisfaction, adequate security for the Enron Platform and the Customer-Specific Transaction Data transmitted to Accenture through the Enron Data Feed.   In connection with the development of the Enron Data Feed, Accenture shall provide Enron with access to Accenture personnel and information as Enron may reasonably request to assist Enron in the development of the Enron Data Feed.  If Enron reasonably determines that the TSH Launch Date will be delayed, Enron may delay its development of the Enron Data Feed to be consistent with the projected TSH Launch Date.</w:t>
      </w:r>
    </w:p>
    <w:p>
      <w:pPr>
        <w:pStyle w:val="VENumbered3"/>
        <w:numPr>
          <w:ilvl w:val="2"/>
          <w:numId w:val="7"/>
        </w:numPr>
        <w:ind w:hanging="0" w:start="0"/>
        <w:rPr>
          <w:rStyle w:val="VEBold"/>
          <w:b w:val="false"/>
          <w:bCs/>
        </w:rPr>
      </w:pPr>
      <w:r>
        <w:rPr>
          <w:rStyle w:val="VEBold"/>
          <w:b w:val="false"/>
          <w:bCs/>
        </w:rPr>
        <w:t>Enron will provide the SmartClient Software and sample data from the Enron Data Feed to Accenture for testing at least thirty (30) days prior to the Enron Data Feed Connection Date.</w:t>
      </w:r>
      <w:r>
        <w:rPr>
          <w:b/>
          <w:bCs/>
        </w:rPr>
        <w:t xml:space="preserve">  </w:t>
      </w:r>
      <w:r>
        <w:rPr/>
        <w:t xml:space="preserve">It will be Accenture’s sole responsibility to make all modifications to the Accenture Systems and/or its TSH to receive and properly read the data transmitted by Enron through the Enron Data Feed.  </w:t>
      </w:r>
      <w:r>
        <w:rPr>
          <w:rStyle w:val="VEBold"/>
          <w:b w:val="false"/>
          <w:bCs/>
        </w:rPr>
        <w:t>Upon Accenture’s reasonable request, during the 30-day testing period, Enron will provide Accenture with such assistance and cooperation as may be necessary to help Accenture confirm the data format transmitted by Enron through the Enron Data Feed and as Accenture may otherwise require so that Accenture can establish the interoperability of the Enron Data Feed with the Accenture Systems.</w:t>
      </w:r>
    </w:p>
    <w:p>
      <w:pPr>
        <w:pStyle w:val="VENumbered2"/>
        <w:numPr>
          <w:ilvl w:val="1"/>
          <w:numId w:val="7"/>
        </w:numPr>
        <w:ind w:hanging="0" w:start="0"/>
        <w:rPr/>
      </w:pPr>
      <w:bookmarkStart w:id="7" w:name="__RefHeading___Toc515639043"/>
      <w:bookmarkStart w:id="8" w:name="_Ref515621856"/>
      <w:bookmarkStart w:id="9" w:name="_Ref515621843"/>
      <w:bookmarkEnd w:id="7"/>
      <w:r>
        <w:rPr/>
        <w:t>Operation and Modification to the Enron Data Feed.</w:t>
      </w:r>
      <w:bookmarkEnd w:id="8"/>
      <w:bookmarkEnd w:id="9"/>
    </w:p>
    <w:p>
      <w:pPr>
        <w:pStyle w:val="VENumbered3"/>
        <w:numPr>
          <w:ilvl w:val="2"/>
          <w:numId w:val="7"/>
        </w:numPr>
        <w:ind w:hanging="0" w:start="0"/>
        <w:rPr/>
      </w:pPr>
      <w:r>
        <w:rPr/>
        <w:t>Enron shall initially deliver the Customer-Specific Transaction Data to Accenture through the Enron Data Feed in electronic form in a file transfer protocol using an Extensible Markup Language (XML) format selected by Enron, as further described in the External Interface Document.</w:t>
      </w:r>
    </w:p>
    <w:p>
      <w:pPr>
        <w:pStyle w:val="VENumbered3"/>
        <w:numPr>
          <w:ilvl w:val="2"/>
          <w:numId w:val="7"/>
        </w:numPr>
        <w:ind w:hanging="0" w:start="0"/>
        <w:rPr/>
      </w:pPr>
      <w:bookmarkStart w:id="10" w:name="_Ref516191708"/>
      <w:r>
        <w:rPr/>
        <w:t xml:space="preserve">Enron may modify the Enron Data Feed (and any of the SmartClient Software related thereto) and the External Interface Document at any time and will endeavor to provide Accenture with at least ten (10) days advance notice of any such changes; provided that if such change could reasonably be anticipated to materially and adversely effect the Accenture Systems or Accenture’s TSH, then </w:t>
      </w:r>
      <w:r>
        <w:rPr>
          <w:rStyle w:val="VEBold"/>
          <w:b w:val="false"/>
          <w:bCs/>
        </w:rPr>
        <w:t>Enron shall provide Accenture with at least thirty (30) days prior notice and an opportunity to discuss any proposed or scheduled modifications and measures that Accenture can take to avoid such material adverse effect.</w:t>
      </w:r>
      <w:r>
        <w:rPr/>
        <w:t xml:space="preserve">  Accenture shall run the most current version of the SmartClient Software provided to it by Enron, and shall implement any updates to the SmartClient Software on the Accenture Systems within [thirty (30)] days of receipt of the updates from Enron.  Accenture is solely responsible for making any changes to the Accenture Systems and/or Accenture’s TSH to accommodate any such changes; however, upon Accenture’s reasonable request, during the 30-day notice period, </w:t>
      </w:r>
      <w:r>
        <w:rPr>
          <w:rStyle w:val="VEBold"/>
          <w:b w:val="false"/>
          <w:bCs/>
        </w:rPr>
        <w:t>Enron will provide Accenture with such assistance and cooperation as may be necessary to help Accenture confirm the data format transmitted by Enron through the Enron Data Feed and as Accenture may otherwise request so that Accenture can establish the interoperability of the Enron Data Feed with the Accenture Systems.</w:t>
      </w:r>
      <w:bookmarkEnd w:id="10"/>
    </w:p>
    <w:p>
      <w:pPr>
        <w:pStyle w:val="VENumbered3"/>
        <w:numPr>
          <w:ilvl w:val="2"/>
          <w:numId w:val="7"/>
        </w:numPr>
        <w:ind w:hanging="0" w:start="0"/>
        <w:rPr/>
      </w:pPr>
      <w:r>
        <w:rPr/>
        <w:t>Enron will not be responsible for making any changes to the Enron Platform or Enron Data Feed to accommodate any modifications, upgrades or improvements of the Accenture Systems or Accenture’s TSH.</w:t>
      </w:r>
    </w:p>
    <w:p>
      <w:pPr>
        <w:pStyle w:val="VENumbered2"/>
        <w:numPr>
          <w:ilvl w:val="1"/>
          <w:numId w:val="7"/>
        </w:numPr>
        <w:ind w:hanging="0" w:start="0"/>
        <w:rPr/>
      </w:pPr>
      <w:bookmarkStart w:id="11" w:name="__RefHeading___Toc515639044"/>
      <w:bookmarkEnd w:id="11"/>
      <w:r>
        <w:rPr/>
        <w:t>Provision of Customer-Specific Transaction Data.</w:t>
      </w:r>
    </w:p>
    <w:p>
      <w:pPr>
        <w:pStyle w:val="VENumbered3"/>
        <w:numPr>
          <w:ilvl w:val="2"/>
          <w:numId w:val="7"/>
        </w:numPr>
        <w:ind w:hanging="0" w:start="0"/>
        <w:rPr/>
      </w:pPr>
      <w:bookmarkStart w:id="12" w:name="_Ref515859144"/>
      <w:r>
        <w:rPr/>
        <w:t>Accenture shall enter into an Accenture Customer Agreement with each Enron Customer who intends to use the TSH Services, which agreement will include a consent and release in a form to be established by Enron and reasonably satisfactory to Accenture (“Consent and Release”), to be duly executed by an authorized representative of such Enron Customer and delivered to Enron as a condition precedent to Enron’s transmission of Customer-Specific Transaction Data to Accenture related to such Enron Customer.  Accenture shall ensure that there is no conflict between the Accenture Customer Agreement and the corresponding Consent and Release.  Enron may conduct such additional due diligence as it deems necessary to confirm the authority of the representative of the Enron Customer executing the Consent and Release prior to transmitting any such data to Accenture.  Enron and Accenture will cooperate with each other to develop a sign up process that will facilitate the Enron Customers’ access to the TSH Services.</w:t>
      </w:r>
      <w:bookmarkEnd w:id="12"/>
    </w:p>
    <w:p>
      <w:pPr>
        <w:pStyle w:val="VENumbered3"/>
        <w:numPr>
          <w:ilvl w:val="2"/>
          <w:numId w:val="7"/>
        </w:numPr>
        <w:ind w:hanging="0" w:start="0"/>
        <w:rPr/>
      </w:pPr>
      <w:r>
        <w:rPr/>
        <w:t xml:space="preserve">Within </w:t>
      </w:r>
      <w:r>
        <w:rPr>
          <w:b/>
          <w:bCs/>
        </w:rPr>
        <w:t>[</w:t>
      </w:r>
      <w:r>
        <w:rPr/>
        <w:t>five</w:t>
      </w:r>
      <w:r>
        <w:rPr>
          <w:b/>
          <w:bCs/>
        </w:rPr>
        <w:t>]</w:t>
      </w:r>
      <w:r>
        <w:rPr/>
        <w:t xml:space="preserve"> days after Enron's receipt of a Consent and Release duly executed by an authorized representative of an Enron Customer and otherwise satisfactory to Enron, provided the Enron Data Feed Connection Date has occurred, and subject to the other terms and conditions of this Agreement, Enron will provide to Accenture on a Real-time Basis Customer-Specific Transaction Data through the Enron Data Feed for Qualified Customers, for the sole purpose of permitting Accenture to provide such data to the relevant Qualified Customer to whom the data relates, through Accenture’s TSH.</w:t>
      </w:r>
    </w:p>
    <w:p>
      <w:pPr>
        <w:pStyle w:val="VENumbered3"/>
        <w:numPr>
          <w:ilvl w:val="2"/>
          <w:numId w:val="7"/>
        </w:numPr>
        <w:ind w:hanging="0" w:start="0"/>
        <w:rPr/>
      </w:pPr>
      <w:bookmarkStart w:id="13" w:name="_Ref515858914"/>
      <w:r>
        <w:rPr/>
        <w:t>Accenture acknowledges that the Electronic Transfer Agreement between Enron and each Enron Customer (“ETA”) shall remain in full force and effect, without modification, and shall continue to govern, notwithstanding Accenture’s provision of Customer-Specific Transaction Data pursuant to any Accenture Customer Agreement.  Accenture shall not represent to any Enron Customer, nor shall any Accenture Customer Agreement provide, that the ETA is being amended or superceded in any way.</w:t>
      </w:r>
      <w:bookmarkEnd w:id="13"/>
    </w:p>
    <w:p>
      <w:pPr>
        <w:pStyle w:val="VENumbered2"/>
        <w:numPr>
          <w:ilvl w:val="1"/>
          <w:numId w:val="7"/>
        </w:numPr>
        <w:ind w:hanging="0" w:start="0"/>
        <w:rPr/>
      </w:pPr>
      <w:bookmarkStart w:id="14" w:name="__RefHeading___Toc515639045"/>
      <w:bookmarkEnd w:id="14"/>
      <w:r>
        <w:rPr/>
        <w:t xml:space="preserve">Accenture’s Storage of </w:t>
      </w:r>
      <w:r>
        <w:rPr>
          <w:color w:val="FF6600"/>
        </w:rPr>
        <w:t>Customer-Specific Transaction Data</w:t>
      </w:r>
      <w:r>
        <w:rPr/>
        <w:t>.</w:t>
      </w:r>
    </w:p>
    <w:p>
      <w:pPr>
        <w:pStyle w:val="VENumbered3"/>
        <w:numPr>
          <w:ilvl w:val="2"/>
          <w:numId w:val="7"/>
        </w:numPr>
        <w:ind w:hanging="0" w:start="0"/>
        <w:rPr/>
      </w:pPr>
      <w:r>
        <w:rPr/>
        <w:t xml:space="preserve">Accenture agrees that it will not permit any Person to directly or indirectly access any of the </w:t>
      </w:r>
      <w:r>
        <w:rPr>
          <w:b/>
          <w:color w:val="FF6600"/>
        </w:rPr>
        <w:t>Customer-Specific Transaction Data</w:t>
      </w:r>
      <w:r>
        <w:rPr/>
        <w:t xml:space="preserve"> other than the Qualified Customer to whom such data relates, except as set forth in Section </w:t>
      </w:r>
      <w:r>
        <w:rPr/>
        <w:fldChar w:fldCharType="begin"/>
      </w:r>
      <w:r>
        <w:rPr/>
        <w:instrText xml:space="preserve"> REF _Ref515626277 \r \r \h </w:instrText>
      </w:r>
      <w:r>
        <w:rPr/>
        <w:fldChar w:fldCharType="separate"/>
      </w:r>
      <w:r>
        <w:rPr/>
        <w:t>(a)</w:t>
      </w:r>
      <w:r>
        <w:rPr/>
        <w:fldChar w:fldCharType="end"/>
      </w:r>
    </w:p>
    <w:p>
      <w:pPr>
        <w:pStyle w:val="VENumbered3"/>
        <w:numPr>
          <w:ilvl w:val="2"/>
          <w:numId w:val="7"/>
        </w:numPr>
        <w:ind w:hanging="0" w:start="0"/>
        <w:rPr/>
      </w:pPr>
      <w:r>
        <w:rPr/>
        <w:t xml:space="preserve">Accenture will be responsible for storing all </w:t>
      </w:r>
      <w:r>
        <w:rPr>
          <w:b/>
          <w:color w:val="FF6600"/>
        </w:rPr>
        <w:t>Customer-Specific Transaction Data</w:t>
      </w:r>
      <w:r>
        <w:rPr/>
        <w:t xml:space="preserve"> on the Accenture Systems in accordance with security standards that are consistent with industry standards and reasonably acceptable to Enron.  </w:t>
      </w:r>
    </w:p>
    <w:p>
      <w:pPr>
        <w:pStyle w:val="VENumbered3"/>
        <w:numPr>
          <w:ilvl w:val="2"/>
          <w:numId w:val="7"/>
        </w:numPr>
        <w:ind w:hanging="0" w:start="0"/>
        <w:rPr/>
      </w:pPr>
      <w:r>
        <w:rPr/>
        <w:t xml:space="preserve">Enron will not provide any historic data, even if Accenture loses data integrity on the Accenture Systems. </w:t>
      </w:r>
    </w:p>
    <w:p>
      <w:pPr>
        <w:pStyle w:val="VENumbered2"/>
        <w:numPr>
          <w:ilvl w:val="1"/>
          <w:numId w:val="7"/>
        </w:numPr>
        <w:ind w:hanging="0" w:start="0"/>
        <w:rPr/>
      </w:pPr>
      <w:bookmarkStart w:id="15" w:name="__RefHeading___Toc515639046"/>
      <w:bookmarkStart w:id="16" w:name="_Ref515594529"/>
      <w:bookmarkStart w:id="17" w:name="_Ref515593837"/>
      <w:bookmarkStart w:id="18" w:name="_Ref515593775"/>
      <w:r>
        <w:rPr/>
        <w:t>Service Levels Related to the Enron Data Feed.</w:t>
      </w:r>
      <w:bookmarkEnd w:id="15"/>
      <w:bookmarkEnd w:id="16"/>
      <w:bookmarkEnd w:id="17"/>
      <w:bookmarkEnd w:id="18"/>
      <w:r>
        <w:rPr/>
        <w:t xml:space="preserve">  </w:t>
      </w:r>
    </w:p>
    <w:p>
      <w:pPr>
        <w:pStyle w:val="VENumbered3"/>
        <w:numPr>
          <w:ilvl w:val="2"/>
          <w:numId w:val="7"/>
        </w:numPr>
        <w:ind w:hanging="0" w:start="0"/>
        <w:rPr/>
      </w:pPr>
      <w:r>
        <w:rPr/>
        <w:t xml:space="preserve">Enron shall transmit the relevant Transaction Data to Accenture in accordance with the Service Levels.  The initial Service Levels are set forth in Schedule </w:t>
      </w:r>
      <w:r>
        <w:rPr/>
        <w:fldChar w:fldCharType="begin"/>
      </w:r>
      <w:r>
        <w:rPr/>
        <w:instrText xml:space="preserve"> REF _Ref515593775 \r \r \h </w:instrText>
      </w:r>
      <w:r>
        <w:rPr/>
        <w:fldChar w:fldCharType="separate"/>
      </w:r>
      <w:r>
        <w:rPr/>
        <w:t>2.5</w:t>
      </w:r>
      <w:r>
        <w:rPr/>
        <w:fldChar w:fldCharType="end"/>
      </w:r>
      <w:r>
        <w:rPr/>
        <w:t xml:space="preserve">.  </w:t>
      </w:r>
    </w:p>
    <w:p>
      <w:pPr>
        <w:pStyle w:val="VENumbered3"/>
        <w:numPr>
          <w:ilvl w:val="2"/>
          <w:numId w:val="7"/>
        </w:numPr>
        <w:ind w:hanging="0" w:start="0"/>
        <w:rPr/>
      </w:pPr>
      <w:r>
        <w:rPr/>
        <w:t>Enron assumes no liability of any kind with respect to any interruption of service, impairment of function, or erroneous results in the operation of Accenture’s TSH caused by any data processing of any third-party software or hardware, or by any software, hardware, programming, technology or data supplied by Accenture.</w:t>
      </w:r>
    </w:p>
    <w:p>
      <w:pPr>
        <w:pStyle w:val="VENumbered3"/>
        <w:numPr>
          <w:ilvl w:val="2"/>
          <w:numId w:val="7"/>
        </w:numPr>
        <w:ind w:hanging="0" w:start="0"/>
        <w:rPr/>
      </w:pPr>
      <w:r>
        <w:rPr/>
        <w:t>Enron does not warrant that the Enron Data Feed is error free, or that Accenture’s use of the Enron Data Feed will be uninterrupted.  Enron does not warrant that the Customer-Specific Transaction Data will be received by Accenture within any given time period following transmission by Enron.</w:t>
      </w:r>
    </w:p>
    <w:p>
      <w:pPr>
        <w:pStyle w:val="VENumbered3"/>
        <w:numPr>
          <w:ilvl w:val="2"/>
          <w:numId w:val="7"/>
        </w:numPr>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w:t>
      </w:r>
    </w:p>
    <w:p>
      <w:pPr>
        <w:pStyle w:val="VENumbered1"/>
        <w:numPr>
          <w:ilvl w:val="0"/>
          <w:numId w:val="7"/>
        </w:numPr>
        <w:ind w:hanging="0" w:start="0"/>
        <w:rPr/>
      </w:pPr>
      <w:bookmarkStart w:id="19" w:name="__RefHeading___Toc515639047"/>
      <w:bookmarkEnd w:id="19"/>
      <w:r>
        <w:rPr/>
        <w:br/>
        <w:t>LICENSE TO USE DATA AND SOFTWARE</w:t>
      </w:r>
    </w:p>
    <w:p>
      <w:pPr>
        <w:pStyle w:val="VENumbered2"/>
        <w:numPr>
          <w:ilvl w:val="1"/>
          <w:numId w:val="7"/>
        </w:numPr>
        <w:ind w:hanging="0" w:start="0"/>
        <w:rPr/>
      </w:pPr>
      <w:bookmarkStart w:id="20" w:name="__RefHeading___Toc515639048"/>
      <w:bookmarkStart w:id="21" w:name="_Ref515637493"/>
      <w:r>
        <w:rPr/>
        <w:t xml:space="preserve">License to Use </w:t>
      </w:r>
      <w:r>
        <w:rPr>
          <w:color w:val="FF6600"/>
        </w:rPr>
        <w:t>Customer-Specific Transaction Data</w:t>
      </w:r>
      <w:r>
        <w:rPr/>
        <w:t>.</w:t>
      </w:r>
      <w:bookmarkEnd w:id="20"/>
      <w:bookmarkEnd w:id="21"/>
      <w:r>
        <w:rPr/>
        <w:t xml:space="preserve">  </w:t>
      </w:r>
    </w:p>
    <w:p>
      <w:pPr>
        <w:pStyle w:val="VENumbered3"/>
        <w:numPr>
          <w:ilvl w:val="0"/>
          <w:numId w:val="0"/>
        </w:numPr>
        <w:ind w:hanging="0" w:start="0"/>
        <w:rPr>
          <w:rStyle w:val="VEBold"/>
        </w:rPr>
      </w:pPr>
      <w:r>
        <w:rPr/>
        <w:t xml:space="preserve">Enron hereby grants to Accenture a worldwide, non-assignable (except as set forth in </w:t>
      </w:r>
      <w:r>
        <w:rPr>
          <w:rStyle w:val="VEUnderline"/>
          <w:u w:val="none"/>
        </w:rPr>
        <w:t xml:space="preserve">Section </w:t>
      </w:r>
      <w:r>
        <w:rPr>
          <w:rStyle w:val="VEUnderline"/>
          <w:u w:val="none"/>
        </w:rPr>
        <w:fldChar w:fldCharType="begin"/>
      </w:r>
      <w:r>
        <w:rPr>
          <w:rStyle w:val="VEUnderline"/>
          <w:u w:val="none"/>
        </w:rPr>
        <w:instrText xml:space="preserve"> REF _Ref515617920 \r \r \h </w:instrText>
      </w:r>
      <w:r>
        <w:rPr>
          <w:rStyle w:val="VEUnderline"/>
          <w:u w:val="none"/>
        </w:rPr>
        <w:fldChar w:fldCharType="separate"/>
      </w:r>
      <w:r>
        <w:rPr>
          <w:rStyle w:val="VEUnderline"/>
          <w:u w:val="none"/>
        </w:rPr>
        <w:t>10.8</w:t>
      </w:r>
      <w:r>
        <w:rPr>
          <w:rStyle w:val="VEUnderline"/>
          <w:u w:val="none"/>
        </w:rPr>
        <w:fldChar w:fldCharType="end"/>
      </w:r>
      <w:r>
        <w:rPr/>
        <w:t xml:space="preserve">) right and license during the Term to distribute </w:t>
      </w:r>
      <w:r>
        <w:rPr>
          <w:b/>
          <w:color w:val="FF6600"/>
        </w:rPr>
        <w:t>Customer-Specific Transaction Data</w:t>
      </w:r>
      <w:r>
        <w:rPr/>
        <w:t xml:space="preserve"> to the Qualified Customer to whom such data relates, through Accenture’s TSH Services, and solely in those limited circumstances to use, re-format, adapt, transmit and copy the Customer-Specific Transaction Data.  Accenture shall not alter any portion of the Customer-Specific Transaction Data other than formatting. </w:t>
      </w:r>
    </w:p>
    <w:p>
      <w:pPr>
        <w:pStyle w:val="VENumbered2"/>
        <w:numPr>
          <w:ilvl w:val="1"/>
          <w:numId w:val="7"/>
        </w:numPr>
        <w:ind w:hanging="0" w:start="0"/>
        <w:rPr/>
      </w:pPr>
      <w:bookmarkStart w:id="22" w:name="__RefHeading___Toc515639049"/>
      <w:r>
        <w:rPr/>
        <w:t xml:space="preserve">Restrictions on Accenture’s Use of </w:t>
      </w:r>
      <w:r>
        <w:rPr>
          <w:color w:val="FF6600"/>
        </w:rPr>
        <w:t>Customer-Specific Transaction Data</w:t>
      </w:r>
      <w:r>
        <w:rPr/>
        <w:t>.</w:t>
      </w:r>
      <w:bookmarkEnd w:id="22"/>
      <w:r>
        <w:rPr/>
        <w:t xml:space="preserve"> </w:t>
      </w:r>
    </w:p>
    <w:p>
      <w:pPr>
        <w:pStyle w:val="VENumbered3"/>
        <w:numPr>
          <w:ilvl w:val="2"/>
          <w:numId w:val="7"/>
        </w:numPr>
        <w:ind w:hanging="0" w:start="0"/>
        <w:rPr/>
      </w:pPr>
      <w:r>
        <w:rPr/>
        <w:t xml:space="preserve">Enron reserves all of its rights in the </w:t>
      </w:r>
      <w:r>
        <w:rPr>
          <w:b/>
          <w:color w:val="FF6600"/>
        </w:rPr>
        <w:t>Customer-Specific Transaction Data</w:t>
      </w:r>
      <w:r>
        <w:rPr/>
        <w:t>, and Accenture shall have no rights to or in such data except as expressly set forth in this Agreement.</w:t>
      </w:r>
    </w:p>
    <w:p>
      <w:pPr>
        <w:pStyle w:val="VENumbered3"/>
        <w:numPr>
          <w:ilvl w:val="2"/>
          <w:numId w:val="7"/>
        </w:numPr>
        <w:ind w:hanging="0" w:start="0"/>
        <w:rPr/>
      </w:pPr>
      <w:r>
        <w:rPr/>
        <w:t xml:space="preserve">Accenture agrees and covenants that it will not aggregate, redistribute, sell, transfer, publish or broadcast any </w:t>
      </w:r>
      <w:r>
        <w:rPr>
          <w:b/>
          <w:color w:val="FF6600"/>
        </w:rPr>
        <w:t>Customer-Specific Transaction Data</w:t>
      </w:r>
      <w:r>
        <w:rPr/>
        <w:t xml:space="preserve"> to any Person (including Enron Customers or Accenture customers) or for any purpose, except to the Qualified Customer to whom such data relates and only through Accenture’s TSH as expressly and specifically permitted in this Agreement.</w:t>
      </w:r>
    </w:p>
    <w:p>
      <w:pPr>
        <w:pStyle w:val="VENumbered2"/>
        <w:numPr>
          <w:ilvl w:val="1"/>
          <w:numId w:val="7"/>
        </w:numPr>
        <w:ind w:hanging="0" w:start="0"/>
        <w:rPr/>
      </w:pPr>
      <w:bookmarkStart w:id="23" w:name="__RefHeading___Toc515639050"/>
      <w:bookmarkEnd w:id="23"/>
      <w:r>
        <w:rPr/>
        <w:t>License to Use SmartClient Software</w:t>
      </w:r>
    </w:p>
    <w:p>
      <w:pPr>
        <w:pStyle w:val="VENumbered3"/>
        <w:numPr>
          <w:ilvl w:val="0"/>
          <w:numId w:val="0"/>
        </w:numPr>
        <w:ind w:hanging="0" w:start="0"/>
        <w:rPr>
          <w:b/>
          <w:bCs/>
        </w:rPr>
      </w:pPr>
      <w:r>
        <w:rPr/>
        <w:t xml:space="preserve">.  Upon the terms and subject to the conditions of this Agreement, Enron hereby grants to Accenture, and Accenture accepts, non-assignable (except as permitted under Section </w:t>
      </w:r>
      <w:r>
        <w:rPr/>
        <w:fldChar w:fldCharType="begin"/>
      </w:r>
      <w:r>
        <w:rPr/>
        <w:instrText xml:space="preserve"> REF _Ref515617920 \r \r \h </w:instrText>
      </w:r>
      <w:r>
        <w:rPr/>
        <w:fldChar w:fldCharType="separate"/>
      </w:r>
      <w:r>
        <w:rPr/>
        <w:t>10.8</w:t>
      </w:r>
      <w:r>
        <w:rPr/>
        <w:fldChar w:fldCharType="end"/>
      </w:r>
      <w:r>
        <w:rPr/>
        <w:t xml:space="preserve">), worldwide, perpetual non-exclusive license to use, reproduce, modify, enhance, process, manipulate, copy and create derivative works from the Enron SmartClient Software, including the source code, and any updates or revisions thereto for any purpose related to the operation of Accenture’s TSH, except for the purpose of receiving the Customer-Specific Transaction Data from the Enron Data Feed.  Accenture shall have the right to use, but not to modify in any way, the Enron SmartClient Software, to the extent that the Enron SmartClient Software is being used for the purpose of receiving the Customer-Specific Transaction Data from the Enron Data Feed,  Notwithstanding the foregoing, Enron makes not representation or warranty with respect to the SmartClient Software, and Accenture accepts such software “as is”.  In no event shall Enron be liable for any use of the SmartClient Software by Accenture.  </w:t>
      </w:r>
    </w:p>
    <w:p>
      <w:pPr>
        <w:pStyle w:val="VENumbered2"/>
        <w:numPr>
          <w:ilvl w:val="1"/>
          <w:numId w:val="7"/>
        </w:numPr>
        <w:ind w:hanging="0" w:start="0"/>
        <w:rPr>
          <w:vanish/>
          <w:color w:val="0000FF"/>
        </w:rPr>
      </w:pPr>
      <w:bookmarkStart w:id="24" w:name="__RefHeading___Toc515639051"/>
      <w:bookmarkEnd w:id="24"/>
      <w:r>
        <w:rPr/>
        <w:t>Enron’s Updates to the SmartClient Software</w:t>
      </w:r>
    </w:p>
    <w:p>
      <w:pPr>
        <w:pStyle w:val="VEBodyText2"/>
        <w:rPr/>
      </w:pPr>
      <w:r>
        <w:rPr/>
        <w:t xml:space="preserve">.  From time to time Enron may provide Accenture with updates and/or upgrades to the SmartClient Software in accordance with the provisions of Section </w:t>
      </w:r>
      <w:r>
        <w:rPr/>
        <w:fldChar w:fldCharType="begin"/>
      </w:r>
      <w:r>
        <w:rPr/>
        <w:instrText xml:space="preserve"> REF _Ref515621843 \r \r \h </w:instrText>
      </w:r>
      <w:r>
        <w:rPr/>
        <w:fldChar w:fldCharType="separate"/>
      </w:r>
      <w:r>
        <w:rPr/>
        <w:t>2.2</w:t>
      </w:r>
      <w:r>
        <w:rPr/>
        <w:fldChar w:fldCharType="end"/>
      </w:r>
      <w:r>
        <w:rPr/>
        <w:t xml:space="preserve">.  Accenture must implement all such updates and/or upgrades within the periods specified in Section </w:t>
      </w:r>
      <w:r>
        <w:rPr/>
        <w:fldChar w:fldCharType="begin"/>
      </w:r>
      <w:r>
        <w:rPr/>
        <w:instrText xml:space="preserve"> REF _Ref516191708 \w \w \h </w:instrText>
      </w:r>
      <w:r>
        <w:rPr/>
        <w:fldChar w:fldCharType="separate"/>
      </w:r>
      <w:r>
        <w:rPr/>
        <w:t>(b)</w:t>
      </w:r>
      <w:r>
        <w:rPr/>
        <w:fldChar w:fldCharType="end"/>
      </w:r>
      <w:r>
        <w:rPr/>
        <w:t>; otherwise all of Enron’s warranties and obligations relating to the Enron Data Feed, including any Service Level obligations, shall be void.</w:t>
      </w:r>
    </w:p>
    <w:p>
      <w:pPr>
        <w:pStyle w:val="VENumbered2"/>
        <w:numPr>
          <w:ilvl w:val="1"/>
          <w:numId w:val="7"/>
        </w:numPr>
        <w:ind w:hanging="0" w:start="0"/>
        <w:rPr/>
      </w:pPr>
      <w:bookmarkStart w:id="25" w:name="__RefHeading___Toc515639052"/>
      <w:bookmarkEnd w:id="25"/>
      <w:r>
        <w:rPr/>
        <w:t>Additional License Rights.</w:t>
      </w:r>
    </w:p>
    <w:p>
      <w:pPr>
        <w:pStyle w:val="VENumbered3"/>
        <w:numPr>
          <w:ilvl w:val="2"/>
          <w:numId w:val="7"/>
        </w:numPr>
        <w:ind w:hanging="0" w:start="0"/>
        <w:rPr/>
      </w:pPr>
      <w:bookmarkStart w:id="26" w:name="_Ref515626277"/>
      <w:r>
        <w:rPr/>
        <w:t xml:space="preserve">Accenture shall have the right to provide access to the </w:t>
      </w:r>
      <w:r>
        <w:rPr>
          <w:b/>
          <w:color w:val="FF6600"/>
        </w:rPr>
        <w:t>Customer-Specific Transaction Data</w:t>
      </w:r>
      <w:r>
        <w:rPr/>
        <w:t xml:space="preserve"> and the Software to all consultants, agents, representatives and contractors of Accenture subject to the following terms and conditions:  (i) each of said consultants, agents, representatives and/or contractors must be subject to a written confidentiality agreement under which it agrees to hold the </w:t>
      </w:r>
      <w:r>
        <w:rPr>
          <w:b/>
          <w:color w:val="FF6600"/>
        </w:rPr>
        <w:t>Customer-Specific Transaction Data</w:t>
      </w:r>
      <w:r>
        <w:rPr/>
        <w:t xml:space="preserve"> and/or the Software (as applicable) in confidence under terms substantially similar as the confidentiality terms herein, and such agreement remains in effect; (ii) each such party’s access is solely to support Accenture’s use and operation of its TSH or to provide TSH Services to Qualified Customers; and (iii) Accenture agrees to be responsible and liable for any misuse or disclosure of any of the </w:t>
      </w:r>
      <w:r>
        <w:rPr>
          <w:b/>
          <w:color w:val="FF6600"/>
        </w:rPr>
        <w:t>Customer-Specific Transaction Data</w:t>
      </w:r>
      <w:r>
        <w:rPr/>
        <w:t xml:space="preserve"> and/or the Software by such third parties in violation of this Agreement.</w:t>
      </w:r>
      <w:bookmarkEnd w:id="26"/>
      <w:r>
        <w:rPr/>
        <w:t xml:space="preserve">  </w:t>
      </w:r>
    </w:p>
    <w:p>
      <w:pPr>
        <w:pStyle w:val="VENumbered3"/>
        <w:numPr>
          <w:ilvl w:val="2"/>
          <w:numId w:val="7"/>
        </w:numPr>
        <w:ind w:hanging="0" w:start="0"/>
        <w:rPr/>
      </w:pPr>
      <w:r>
        <w:rPr/>
        <w:t>Accenture may, without the consent of Enron, grant a nonexclusive, nontransferable sublicense of its rights under this Agreement to one or more of its Affiliates on the same terms and conditions, and restrictions as set forth herein, but only for so long as such Person is an Affiliate of Accenture.  Accenture will be responsible for any breach of the terms, conditions or restrictions by such Affiliate.  Only Accenture will contact Enron relating to any matter arising under this Agreement.</w:t>
      </w:r>
    </w:p>
    <w:p>
      <w:pPr>
        <w:pStyle w:val="VENumbered2"/>
        <w:numPr>
          <w:ilvl w:val="1"/>
          <w:numId w:val="7"/>
        </w:numPr>
        <w:ind w:hanging="0" w:start="0"/>
        <w:rPr/>
      </w:pPr>
      <w:bookmarkStart w:id="27" w:name="__RefHeading___Toc515639053"/>
      <w:bookmarkEnd w:id="27"/>
      <w:r>
        <w:rPr/>
        <w:t>Limitations of Liability.</w:t>
      </w:r>
    </w:p>
    <w:p>
      <w:pPr>
        <w:pStyle w:val="VEBodyTextFLI"/>
        <w:rPr/>
      </w:pPr>
      <w:r>
        <w:rPr/>
        <w:t>EXCEPT FOR THE WARRANTIES EXPRESSLY SET FORTH IN THIS AGREEMENT, ALL SOFTWARE IS PROVIDED “AS IS” WITHOUT WARRANTY OF ANY KIND INCLUDING WITHOUT LIMITATION, ANY WARRANTY OF MERCHANTABILITY OR FITNESS FOR A PARTICULAR PURPOSE OR NONINFRINGEMENT. FURTHER, ENRON DOES NOT WARRANT RESULTS OF USE OR THAT THE SOFTWARE IS BUG FREE OR THAT THE USE OF THE SOFTWARE WILL BE UNINTERRUPTED.</w:t>
      </w:r>
    </w:p>
    <w:p>
      <w:pPr>
        <w:pStyle w:val="VENumbered1"/>
        <w:numPr>
          <w:ilvl w:val="0"/>
          <w:numId w:val="7"/>
        </w:numPr>
        <w:ind w:hanging="0" w:start="0"/>
        <w:rPr/>
      </w:pPr>
      <w:bookmarkStart w:id="28" w:name="__RefHeading___Toc515639054"/>
      <w:bookmarkEnd w:id="28"/>
      <w:r>
        <w:rPr/>
        <w:br/>
        <w:t>EXCLUSIVITY; MARKETING</w:t>
      </w:r>
    </w:p>
    <w:p>
      <w:pPr>
        <w:pStyle w:val="VENumbered2"/>
        <w:numPr>
          <w:ilvl w:val="1"/>
          <w:numId w:val="7"/>
        </w:numPr>
        <w:ind w:hanging="0" w:start="0"/>
        <w:rPr/>
      </w:pPr>
      <w:bookmarkStart w:id="29" w:name="__RefHeading___Toc515639055"/>
      <w:bookmarkEnd w:id="29"/>
      <w:r>
        <w:rPr/>
        <w:t>Exclusivity Obligations of Enron.</w:t>
      </w:r>
    </w:p>
    <w:p>
      <w:pPr>
        <w:pStyle w:val="VENumbered3"/>
        <w:numPr>
          <w:ilvl w:val="2"/>
          <w:numId w:val="7"/>
        </w:numPr>
        <w:ind w:hanging="0" w:start="0"/>
        <w:rPr/>
      </w:pPr>
      <w:r>
        <w:rPr/>
        <w:t>During the Term, Enron will not provide Customer-Specific Transaction Data to any third party or to any Enron Customer on a Real-Time Basis in electronic format, except:</w:t>
      </w:r>
    </w:p>
    <w:p>
      <w:pPr>
        <w:pStyle w:val="VENumbered4"/>
        <w:numPr>
          <w:ilvl w:val="3"/>
          <w:numId w:val="7"/>
        </w:numPr>
        <w:ind w:hanging="0" w:start="0"/>
        <w:rPr/>
      </w:pPr>
      <w:bookmarkStart w:id="30" w:name="_Ref515634554"/>
      <w:r>
        <w:rPr/>
        <w:t>Enron can provide Customer-Specific Transaction Data on a Real-Time Basis to any Enron Customer who is not a Qualified Customer, subject to the following  revenue sharing arrangements:  any revenues received by Enron for any such service may be retained by Enron, and on a quarterly basis (in arrears) Enron will pay Accenture 70% of the Standard Transaction Fee for such services less Enron’s cost to perform such services (“Enron Payments”); such amounts shall be excluded from the Gross TSH Revenues.</w:t>
      </w:r>
      <w:bookmarkEnd w:id="30"/>
    </w:p>
    <w:p>
      <w:pPr>
        <w:pStyle w:val="VENumbered4"/>
        <w:numPr>
          <w:ilvl w:val="3"/>
          <w:numId w:val="7"/>
        </w:numPr>
        <w:ind w:hanging="0" w:start="0"/>
        <w:rPr/>
      </w:pPr>
      <w:r>
        <w:rPr/>
        <w:t xml:space="preserve">Enron can provide Customer-Specific Transaction Data to its customers in other formats and reports, in accordance with Enron’s customary practices or otherwise in the ordinary course of its business, as long as the data is not transmitted to the customers on a Real-Time Basis in [an electronic format that can be </w:t>
      </w:r>
      <w:r>
        <w:rPr>
          <w:rStyle w:val="VEBold"/>
          <w:b w:val="false"/>
          <w:bCs/>
        </w:rPr>
        <w:t>read by customer.]</w:t>
      </w:r>
    </w:p>
    <w:p>
      <w:pPr>
        <w:pStyle w:val="VENumbered4"/>
        <w:numPr>
          <w:ilvl w:val="3"/>
          <w:numId w:val="7"/>
        </w:numPr>
        <w:ind w:hanging="0" w:start="0"/>
        <w:rPr/>
      </w:pPr>
      <w:r>
        <w:rPr/>
        <w:t>Enron can provide Customer-Specific Transaction Data to Kiodex, Inc., in accordance with the Co-Marketing Agreement between Kiodex, Inc. and Enron dated as of March 28, 2001, as amended from time to time.</w:t>
      </w:r>
    </w:p>
    <w:p>
      <w:pPr>
        <w:pStyle w:val="VENumbered4"/>
        <w:numPr>
          <w:ilvl w:val="3"/>
          <w:numId w:val="7"/>
        </w:numPr>
        <w:ind w:hanging="0" w:start="0"/>
        <w:rPr>
          <w:bCs/>
        </w:rPr>
      </w:pPr>
      <w:r>
        <w:rPr/>
        <w:t>Enron can provide Customer-Specific Transaction Data to Enron, Enron Corp., and any of their respective Affiliates without regard to any restrictions under this Agreement.</w:t>
      </w:r>
    </w:p>
    <w:p>
      <w:pPr>
        <w:pStyle w:val="VENumbered4"/>
        <w:numPr>
          <w:ilvl w:val="3"/>
          <w:numId w:val="7"/>
        </w:numPr>
        <w:ind w:hanging="0" w:start="0"/>
        <w:rPr>
          <w:rStyle w:val="VEBold"/>
          <w:b w:val="false"/>
          <w:bCs/>
        </w:rPr>
      </w:pPr>
      <w:r>
        <w:rPr>
          <w:rStyle w:val="VEBold"/>
          <w:b w:val="false"/>
          <w:bCs/>
        </w:rPr>
        <w:t>Enron can provide Customer-Specific Transaction Data in accordance with the Enron’s agreements with HoustonStreet and TrueQuote.</w:t>
      </w:r>
    </w:p>
    <w:p>
      <w:pPr>
        <w:pStyle w:val="VENumbered4"/>
        <w:numPr>
          <w:ilvl w:val="3"/>
          <w:numId w:val="7"/>
        </w:numPr>
        <w:ind w:hanging="0" w:start="0"/>
        <w:rPr/>
      </w:pPr>
      <w:r>
        <w:rPr/>
        <w:t xml:space="preserve">Enron can provide Customer-Specific Transaction Data to any Enron Customer to the extent that it is legally obligated to do so under any applicable law, regulation or order.  </w:t>
      </w:r>
    </w:p>
    <w:p>
      <w:pPr>
        <w:pStyle w:val="VENumbered3"/>
        <w:numPr>
          <w:ilvl w:val="2"/>
          <w:numId w:val="7"/>
        </w:numPr>
        <w:ind w:hanging="0" w:start="0"/>
        <w:rPr/>
      </w:pPr>
      <w:r>
        <w:rPr/>
        <w:t>Enron will not license the SmartClient Software to any third party for the purpose of establishing or operating a TSH that is competitive with Accenture’s TSH.</w:t>
      </w:r>
    </w:p>
    <w:p>
      <w:pPr>
        <w:pStyle w:val="VENumbered2"/>
        <w:numPr>
          <w:ilvl w:val="1"/>
          <w:numId w:val="7"/>
        </w:numPr>
        <w:ind w:hanging="0" w:start="0"/>
        <w:rPr/>
      </w:pPr>
      <w:bookmarkStart w:id="31" w:name="__RefHeading___Toc515639056"/>
      <w:bookmarkEnd w:id="31"/>
      <w:r>
        <w:rPr/>
        <w:t>Accenture’s Marketing of the TSH Services.</w:t>
      </w:r>
    </w:p>
    <w:p>
      <w:pPr>
        <w:pStyle w:val="VENumbered3"/>
        <w:numPr>
          <w:ilvl w:val="2"/>
          <w:numId w:val="7"/>
        </w:numPr>
        <w:ind w:hanging="0" w:start="0"/>
        <w:rPr/>
      </w:pPr>
      <w:r>
        <w:rPr/>
        <w:t>Accenture will use its commercially reasonable efforts to promote its TSH and the provision of the TSH Services to Enron Customers.</w:t>
      </w:r>
    </w:p>
    <w:p>
      <w:pPr>
        <w:pStyle w:val="VENumbered3"/>
        <w:numPr>
          <w:ilvl w:val="2"/>
          <w:numId w:val="7"/>
        </w:numPr>
        <w:ind w:hanging="0" w:start="0"/>
        <w:rPr/>
      </w:pPr>
      <w:r>
        <w:rPr/>
        <w:t xml:space="preserve">[Enron will provide Accenture with Enron’s top fifty Enron electronic trading customers and will update that list each quarter, if and only to the extent such disclosure is permitted by the applicable Enron policies relating to customer privacy then in effect.  In no event shall any Customer-Specific Transaction Data be provided to Accenture, either individual transactions or aggregate data, for marketing purposes.]  </w:t>
      </w:r>
      <w:r>
        <w:rPr>
          <w:rStyle w:val="VEBold"/>
        </w:rPr>
        <w:t>[Still under review]</w:t>
      </w:r>
    </w:p>
    <w:p>
      <w:pPr>
        <w:pStyle w:val="VENumbered3"/>
        <w:numPr>
          <w:ilvl w:val="2"/>
          <w:numId w:val="7"/>
        </w:numPr>
        <w:ind w:hanging="0" w:start="0"/>
        <w:rPr/>
      </w:pPr>
      <w:r>
        <w:rPr/>
        <w:t xml:space="preserve">Accenture may use Enron as a reference and may indicate to others that Accenture is Enron’s exclusive third party provider of Customer-Specific Transaction Data.  </w:t>
      </w:r>
    </w:p>
    <w:p>
      <w:pPr>
        <w:pStyle w:val="VENumbered3"/>
        <w:numPr>
          <w:ilvl w:val="2"/>
          <w:numId w:val="7"/>
        </w:numPr>
        <w:ind w:hanging="0" w:start="0"/>
        <w:rPr/>
      </w:pPr>
      <w:r>
        <w:rPr/>
        <w:t xml:space="preserve">Enron shall cooperate to support and assist Accenture in its marketing activities.  </w:t>
      </w:r>
    </w:p>
    <w:p>
      <w:pPr>
        <w:pStyle w:val="VENumbered2"/>
        <w:numPr>
          <w:ilvl w:val="1"/>
          <w:numId w:val="7"/>
        </w:numPr>
        <w:ind w:hanging="0" w:start="0"/>
        <w:rPr/>
      </w:pPr>
      <w:bookmarkStart w:id="32" w:name="__RefHeading___Toc515639057"/>
      <w:r>
        <w:rPr/>
        <w:t>Publicity.</w:t>
      </w:r>
      <w:bookmarkEnd w:id="32"/>
      <w:r>
        <w:rPr/>
        <w:t xml:space="preserve"> </w:t>
      </w:r>
    </w:p>
    <w:p>
      <w:pPr>
        <w:pStyle w:val="VENumbered3"/>
        <w:numPr>
          <w:ilvl w:val="2"/>
          <w:numId w:val="7"/>
        </w:numPr>
        <w:ind w:hanging="0" w:start="0"/>
        <w:rPr/>
      </w:pPr>
      <w:r>
        <w:rPr/>
        <w:t xml:space="preserve">Enron and Accenture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Prior to the TSH Launch Date, Accenture may issue a press release in a form mutually agreed to by the parties relating to Accenture’s provision of Customer-Specific Transaction Data under this Agreement, subject to Enron’s prior review and approval of the timing and wording of such release.</w:t>
      </w:r>
    </w:p>
    <w:p>
      <w:pPr>
        <w:pStyle w:val="VENumbered2"/>
        <w:numPr>
          <w:ilvl w:val="1"/>
          <w:numId w:val="7"/>
        </w:numPr>
        <w:ind w:hanging="0" w:start="0"/>
        <w:rPr>
          <w:vanish/>
          <w:color w:val="0000FF"/>
        </w:rPr>
      </w:pPr>
      <w:bookmarkStart w:id="33" w:name="__RefHeading___Toc515639058"/>
      <w:bookmarkEnd w:id="33"/>
      <w:r>
        <w:rPr/>
        <w:t>No Use of Marks</w:t>
      </w:r>
    </w:p>
    <w:p>
      <w:pPr>
        <w:pStyle w:val="VENumbered3"/>
        <w:numPr>
          <w:ilvl w:val="2"/>
          <w:numId w:val="7"/>
        </w:numPr>
        <w:ind w:hanging="0" w:start="0"/>
        <w:rPr/>
      </w:pPr>
      <w:r>
        <w:rPr/>
        <w:t xml:space="preserve">.  Neither party shall use the other party’s name, trade names, trademarks, or service marks without the prior written permission of such other party and, with such permission, only in accordance with the owning party’s guidelines for such use in effect from time to time.  It is Enron’s intent to cooperate with Accenture in Accenture’s marketing activities, and Enron shall act reasonably in providing the consent required in the foregoing sentence.  </w:t>
      </w:r>
    </w:p>
    <w:p>
      <w:pPr>
        <w:pStyle w:val="VENumbered2"/>
        <w:numPr>
          <w:ilvl w:val="1"/>
          <w:numId w:val="7"/>
        </w:numPr>
        <w:ind w:hanging="0" w:start="0"/>
        <w:rPr/>
      </w:pPr>
      <w:bookmarkStart w:id="34" w:name="__RefHeading___Toc515639059"/>
      <w:bookmarkStart w:id="35" w:name="_Ref515632458"/>
      <w:r>
        <w:rPr/>
        <w:t>Strategic Enron Transactions.</w:t>
      </w:r>
      <w:bookmarkEnd w:id="34"/>
      <w:bookmarkEnd w:id="35"/>
      <w:r>
        <w:rPr/>
        <w:t xml:space="preserve">  </w:t>
      </w:r>
    </w:p>
    <w:p>
      <w:pPr>
        <w:pStyle w:val="VENumbered3"/>
        <w:numPr>
          <w:ilvl w:val="2"/>
          <w:numId w:val="7"/>
        </w:numPr>
        <w:ind w:hanging="0" w:start="0"/>
        <w:rPr/>
      </w:pPr>
      <w:bookmarkStart w:id="36" w:name="_Ref515600686"/>
      <w:r>
        <w:rPr/>
        <w:t>During the three month period following the first day of the first Contract Year, neither Enron nor any of its Affiliates shall enter into any agreement with any third party, multilateral electronic trading platform that permits that platform to capture Customer-Specific Transaction Data and make Customer-Specific Transaction Data available to Enron Customers on a Real-Time Basis, unless Accenture otherwise consents to the relationship or transaction pursuant to a binding transaction data routing agreement between Accenture and such platform.</w:t>
      </w:r>
      <w:bookmarkEnd w:id="36"/>
    </w:p>
    <w:p>
      <w:pPr>
        <w:pStyle w:val="VENumbered3"/>
        <w:numPr>
          <w:ilvl w:val="2"/>
          <w:numId w:val="7"/>
        </w:numPr>
        <w:ind w:hanging="0" w:start="0"/>
        <w:rPr/>
      </w:pPr>
      <w:bookmarkStart w:id="37" w:name="_Ref516043658"/>
      <w:bookmarkStart w:id="38" w:name="_Ref515631852"/>
      <w:r>
        <w:rPr/>
        <w:t xml:space="preserve">After the expiration of the three month period referred to in Section </w:t>
      </w:r>
      <w:r>
        <w:rPr/>
        <w:fldChar w:fldCharType="begin"/>
      </w:r>
      <w:r>
        <w:rPr/>
        <w:instrText xml:space="preserve"> REF _Ref515600686 \w \w \h </w:instrText>
      </w:r>
      <w:r>
        <w:rPr/>
        <w:fldChar w:fldCharType="separate"/>
      </w:r>
      <w:r>
        <w:rPr/>
        <w:t>(a)</w:t>
      </w:r>
      <w:r>
        <w:rPr/>
        <w:fldChar w:fldCharType="end"/>
      </w:r>
      <w:r>
        <w:rPr/>
        <w:t>, Enron and its Affiliates may enter into an agreement with any third party, multilateral electronic trading platform that permits that platform to capture Customer-Specific Transaction Data and make Customer-Specific Transaction Data available to Enron Customers on a Real-Time Basis; provided that at least thirty (30) days prior to entering into such an agreement, Enron shall have advised such platform of Accenture’s “preferred provider status” for TSH Services, and shall have advised Accenture of its intent to enter into such an agreement.</w:t>
      </w:r>
      <w:bookmarkEnd w:id="38"/>
      <w:r>
        <w:rPr/>
        <w:t xml:space="preserve">  In addition,</w:t>
      </w:r>
      <w:bookmarkEnd w:id="37"/>
      <w:r>
        <w:rPr/>
        <w:t xml:space="preserve"> </w:t>
      </w:r>
    </w:p>
    <w:p>
      <w:pPr>
        <w:pStyle w:val="VENumbered4"/>
        <w:numPr>
          <w:ilvl w:val="3"/>
          <w:numId w:val="7"/>
        </w:numPr>
        <w:ind w:hanging="0" w:start="0"/>
        <w:rPr/>
      </w:pPr>
      <w:r>
        <w:rPr/>
        <w:t>Enron shall use its commercially reasonable efforts to exclude any rights or privileges with respect to the Customer-Specific Transaction Data from the proposed agreement; or</w:t>
      </w:r>
    </w:p>
    <w:p>
      <w:pPr>
        <w:pStyle w:val="VENumbered4"/>
        <w:numPr>
          <w:ilvl w:val="3"/>
          <w:numId w:val="7"/>
        </w:numPr>
        <w:ind w:hanging="0" w:start="0"/>
        <w:rPr/>
      </w:pPr>
      <w:r>
        <w:rPr/>
        <w:t xml:space="preserve">Enron shall facilitate negotiation of a binding transaction data routing agreement between Accenture and the proposed platform.  </w:t>
      </w:r>
    </w:p>
    <w:p>
      <w:pPr>
        <w:pStyle w:val="VENumbered3"/>
        <w:numPr>
          <w:ilvl w:val="2"/>
          <w:numId w:val="7"/>
        </w:numPr>
        <w:ind w:hanging="0" w:start="0"/>
        <w:rPr/>
      </w:pPr>
      <w:bookmarkStart w:id="39" w:name="_Ref515632736"/>
      <w:r>
        <w:rPr/>
        <w:t xml:space="preserve">If Enron elects to enter into an agreement described in Section </w:t>
      </w:r>
      <w:r>
        <w:rPr/>
        <w:fldChar w:fldCharType="begin"/>
      </w:r>
      <w:r>
        <w:rPr/>
        <w:instrText xml:space="preserve"> REF _Ref515631852 \w \w \h </w:instrText>
      </w:r>
      <w:r>
        <w:rPr/>
        <w:fldChar w:fldCharType="separate"/>
      </w:r>
      <w:r>
        <w:rPr/>
        <w:t>(b)</w:t>
      </w:r>
      <w:r>
        <w:rPr/>
        <w:fldChar w:fldCharType="end"/>
      </w:r>
      <w:r>
        <w:rPr/>
        <w:t xml:space="preserve"> with a Person who is not an Affiliate of Enron (each a “Data Access Agreement”), and as Accenture’s sole and exclusive remedy for Enron’s failure to comply with the provisions of Section </w:t>
      </w:r>
      <w:r>
        <w:rPr/>
        <w:fldChar w:fldCharType="begin"/>
      </w:r>
      <w:r>
        <w:rPr/>
        <w:instrText xml:space="preserve"> REF _Ref516043658 \w \w \h </w:instrText>
      </w:r>
      <w:r>
        <w:rPr/>
        <w:fldChar w:fldCharType="separate"/>
      </w:r>
      <w:r>
        <w:rPr/>
        <w:t>(b)</w:t>
      </w:r>
      <w:r>
        <w:rPr/>
        <w:fldChar w:fldCharType="end"/>
      </w:r>
      <w:r>
        <w:rPr/>
        <w:t xml:space="preserve">, then for the first such Data Access Agreement entered into by Enron, Accenture shall be relieved of the Minimum Annual Payment obligations set forth in Section </w:t>
      </w:r>
      <w:r>
        <w:rPr/>
        <w:fldChar w:fldCharType="begin"/>
      </w:r>
      <w:r>
        <w:rPr/>
        <w:instrText xml:space="preserve"> REF _Ref516189827 \w \w \h </w:instrText>
      </w:r>
      <w:r>
        <w:rPr/>
        <w:fldChar w:fldCharType="separate"/>
      </w:r>
      <w:r>
        <w:rPr/>
        <w:t>(b)</w:t>
      </w:r>
      <w:r>
        <w:rPr/>
        <w:fldChar w:fldCharType="end"/>
      </w:r>
      <w:r>
        <w:rPr/>
        <w:t xml:space="preserve">.  For each additional Data Access Agreement that Enron enters into, the applicable royalty percentage applicable under Section </w:t>
      </w:r>
      <w:r>
        <w:rPr/>
        <w:fldChar w:fldCharType="begin"/>
      </w:r>
      <w:r>
        <w:rPr/>
        <w:instrText xml:space="preserve"> REF _Ref516189851 \w \w \h </w:instrText>
      </w:r>
      <w:r>
        <w:rPr/>
        <w:fldChar w:fldCharType="separate"/>
      </w:r>
      <w:r>
        <w:rPr/>
        <w:t>5.1</w:t>
      </w:r>
      <w:r>
        <w:rPr/>
        <w:fldChar w:fldCharType="end"/>
      </w:r>
      <w:r>
        <w:rPr/>
        <w:t xml:space="preserve"> will be reduced in a 5% increment (e.g., if the royalty percentage were 30%, the application of this Section would reduce that applicable percentage to 25% of the Gross TSH Revenues)..</w:t>
      </w:r>
      <w:bookmarkEnd w:id="39"/>
      <w:r>
        <w:rPr/>
        <w:t xml:space="preserve">  </w:t>
      </w:r>
    </w:p>
    <w:p>
      <w:pPr>
        <w:pStyle w:val="VENumbered3"/>
        <w:numPr>
          <w:ilvl w:val="2"/>
          <w:numId w:val="7"/>
        </w:numPr>
        <w:ind w:hanging="0" w:start="0"/>
        <w:rPr/>
      </w:pPr>
      <w:r>
        <w:rPr/>
        <w:t xml:space="preserve">Notwithstanding the foregoing provisions of Section </w:t>
      </w:r>
      <w:r>
        <w:rPr/>
        <w:fldChar w:fldCharType="begin"/>
      </w:r>
      <w:r>
        <w:rPr/>
        <w:instrText xml:space="preserve"> REF _Ref515632458 \w \w \h </w:instrText>
      </w:r>
      <w:r>
        <w:rPr/>
        <w:fldChar w:fldCharType="separate"/>
      </w:r>
      <w:r>
        <w:rPr/>
        <w:t>4.5</w:t>
      </w:r>
      <w:r>
        <w:rPr/>
        <w:fldChar w:fldCharType="end"/>
      </w:r>
      <w:r>
        <w:rPr/>
        <w:t xml:space="preserve"> to the contrary, Enron’s agreements with TrueQuote and Houston Street shall not be considered to be Data Access Agreements, and neither those agreements, nor any amendment thereto that does not materially enhance the other party’s ability to capture and transmit Customer-Specific Transaction Data on a Real-Time Basis,  shall be considered as a Data Access Agreement under Section </w:t>
      </w:r>
      <w:r>
        <w:rPr/>
        <w:fldChar w:fldCharType="begin"/>
      </w:r>
      <w:r>
        <w:rPr/>
        <w:instrText xml:space="preserve"> REF _Ref515632736 \w \w \h </w:instrText>
      </w:r>
      <w:r>
        <w:rPr/>
        <w:fldChar w:fldCharType="separate"/>
      </w:r>
      <w:r>
        <w:rPr/>
        <w:t>(c)</w:t>
      </w:r>
      <w:r>
        <w:rPr/>
        <w:fldChar w:fldCharType="end"/>
      </w:r>
      <w:r>
        <w:rPr/>
        <w:t xml:space="preserve">.   </w:t>
      </w:r>
    </w:p>
    <w:p>
      <w:pPr>
        <w:pStyle w:val="VENumbered1"/>
        <w:numPr>
          <w:ilvl w:val="0"/>
          <w:numId w:val="7"/>
        </w:numPr>
        <w:ind w:hanging="0" w:start="0"/>
        <w:rPr/>
      </w:pPr>
      <w:bookmarkStart w:id="40" w:name="__RefHeading___Toc515639060"/>
      <w:bookmarkEnd w:id="40"/>
      <w:r>
        <w:rPr/>
        <w:br/>
        <w:t>PAYMENTS TERMS</w:t>
      </w:r>
    </w:p>
    <w:p>
      <w:pPr>
        <w:pStyle w:val="VENumbered2"/>
        <w:numPr>
          <w:ilvl w:val="1"/>
          <w:numId w:val="7"/>
        </w:numPr>
        <w:ind w:hanging="0" w:start="0"/>
        <w:rPr>
          <w:vanish/>
          <w:color w:val="0000FF"/>
        </w:rPr>
      </w:pPr>
      <w:bookmarkStart w:id="41" w:name="__RefHeading___Toc515639061"/>
      <w:bookmarkStart w:id="42" w:name="_Ref515638519"/>
      <w:bookmarkStart w:id="43" w:name="_Ref515633754"/>
      <w:bookmarkStart w:id="44" w:name="_Ref515633292"/>
      <w:bookmarkStart w:id="45" w:name="_Ref515631945"/>
      <w:r>
        <w:rPr/>
        <w:t>Accenture Payments</w:t>
      </w:r>
      <w:bookmarkEnd w:id="41"/>
      <w:bookmarkEnd w:id="42"/>
      <w:bookmarkEnd w:id="43"/>
      <w:bookmarkEnd w:id="44"/>
      <w:bookmarkEnd w:id="45"/>
      <w:r>
        <w:rPr/>
        <w:t>.</w:t>
      </w:r>
    </w:p>
    <w:p>
      <w:pPr>
        <w:pStyle w:val="VENumbered3"/>
        <w:numPr>
          <w:ilvl w:val="2"/>
          <w:numId w:val="7"/>
        </w:numPr>
        <w:ind w:hanging="0" w:start="0"/>
        <w:rPr/>
      </w:pPr>
      <w:bookmarkStart w:id="46" w:name="_Ref516189851"/>
      <w:r>
        <w:rPr/>
        <w:t xml:space="preserve">Accenture shall pay to Enron, on a quarterly basis, 30.0% (or such lower percentage that may be established pursuant to Section </w:t>
      </w:r>
      <w:r>
        <w:rPr/>
        <w:fldChar w:fldCharType="begin"/>
      </w:r>
      <w:r>
        <w:rPr/>
        <w:instrText xml:space="preserve"> REF _Ref515632736 \w \w \h </w:instrText>
      </w:r>
      <w:r>
        <w:rPr/>
        <w:fldChar w:fldCharType="separate"/>
      </w:r>
      <w:r>
        <w:rPr/>
        <w:t>(c)</w:t>
      </w:r>
      <w:r>
        <w:rPr/>
        <w:fldChar w:fldCharType="end"/>
      </w:r>
      <w:r>
        <w:rPr/>
        <w:t>) of the Gross TSH Revenues, which amount shall in no event be less than the Standard Transaction Fees payable for that quarter.</w:t>
      </w:r>
      <w:bookmarkEnd w:id="46"/>
      <w:r>
        <w:rPr/>
        <w:t xml:space="preserve">  </w:t>
      </w:r>
    </w:p>
    <w:p>
      <w:pPr>
        <w:pStyle w:val="VENumbered3"/>
        <w:numPr>
          <w:ilvl w:val="2"/>
          <w:numId w:val="7"/>
        </w:numPr>
        <w:ind w:hanging="0" w:start="0"/>
        <w:rPr/>
      </w:pPr>
      <w:bookmarkStart w:id="47" w:name="_Ref516189827"/>
      <w:r>
        <w:rPr/>
        <w:t>In the event that for any Contract Year the amounts paid by Accenture pursuant to the foregoing are less than the Minimum Annual Payment applicable to that Contract Year, then Accenture will pay to Enron the excess of the Minimum Annual Payment applicable to that Contract Year over the amounts paid by Accenture for such Contract Year based on the Gross TSH Revenues or Standard Transaction Fees.</w:t>
      </w:r>
      <w:bookmarkEnd w:id="47"/>
    </w:p>
    <w:p>
      <w:pPr>
        <w:pStyle w:val="VENumbered2"/>
        <w:numPr>
          <w:ilvl w:val="1"/>
          <w:numId w:val="7"/>
        </w:numPr>
        <w:ind w:hanging="0" w:start="0"/>
        <w:rPr/>
      </w:pPr>
      <w:bookmarkStart w:id="48" w:name="__RefHeading___Toc515639062"/>
      <w:r>
        <w:rPr/>
        <w:t>Accenture Payment Terms.</w:t>
      </w:r>
      <w:bookmarkEnd w:id="48"/>
      <w:r>
        <w:rPr/>
        <w:t xml:space="preserve"> </w:t>
      </w:r>
    </w:p>
    <w:p>
      <w:pPr>
        <w:pStyle w:val="VENumbered3"/>
        <w:numPr>
          <w:ilvl w:val="2"/>
          <w:numId w:val="7"/>
        </w:numPr>
        <w:ind w:hanging="0" w:start="0"/>
        <w:rPr/>
      </w:pPr>
      <w:r>
        <w:rPr/>
        <w:t>All amounts payable by Accenture shall be due and payable by Accenture to Enron within thirty (30) days following the expiration of the applicable fiscal quarter.  With each payment, Accenture will provide Enron will a full accounting of the Gross TSH Revenues applicable to that quarter, together will any reconciliation or corrections applicable to prior quarters.  Within forty-five (45) days following the end of each Contract Year, Accenture will provide Enron with a complete report of Gross TSH Revenues for that Contract Year.</w:t>
      </w:r>
    </w:p>
    <w:p>
      <w:pPr>
        <w:pStyle w:val="VENumbered3"/>
        <w:numPr>
          <w:ilvl w:val="2"/>
          <w:numId w:val="7"/>
        </w:numPr>
        <w:ind w:hanging="0" w:start="0"/>
        <w:rPr/>
      </w:pPr>
      <w:r>
        <w:rPr/>
        <w:t>Any amounts owed by Accenture to Enron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Enron under this Agreement shall be paid in U.S. dollars.</w:t>
      </w:r>
    </w:p>
    <w:p>
      <w:pPr>
        <w:pStyle w:val="VENumbered3"/>
        <w:numPr>
          <w:ilvl w:val="2"/>
          <w:numId w:val="7"/>
        </w:numPr>
        <w:ind w:hanging="0" w:start="0"/>
        <w:rPr/>
      </w:pPr>
      <w:r>
        <w:rPr/>
        <w:t xml:space="preserve">Accenture shall maintain accurate records and supporting documentation, in reasonable detail, to evidence the amount of the Gross TSH Revenues.  </w:t>
      </w:r>
    </w:p>
    <w:p>
      <w:pPr>
        <w:pStyle w:val="VENumbered2"/>
        <w:numPr>
          <w:ilvl w:val="1"/>
          <w:numId w:val="7"/>
        </w:numPr>
        <w:ind w:hanging="0" w:start="0"/>
        <w:rPr/>
      </w:pPr>
      <w:bookmarkStart w:id="49" w:name="__RefHeading___Toc515639063"/>
      <w:r>
        <w:rPr/>
        <w:t>Enron Payment Terms.</w:t>
      </w:r>
      <w:bookmarkEnd w:id="49"/>
      <w:r>
        <w:rPr/>
        <w:t xml:space="preserve">  </w:t>
      </w:r>
    </w:p>
    <w:p>
      <w:pPr>
        <w:pStyle w:val="VENumbered3"/>
        <w:numPr>
          <w:ilvl w:val="2"/>
          <w:numId w:val="7"/>
        </w:numPr>
        <w:ind w:hanging="0" w:start="0"/>
        <w:rPr/>
      </w:pPr>
      <w:r>
        <w:rPr/>
        <w:t>All payments due by Enron to Accenture pursuant to this Agreement shall be due quarterly.  Such payments shall first be credited against the amounts due by Accenture in  the Contract Year in which such Enron Payment accrued.  If the amount due by Enron for a particular Contract Year exceeds the amounts due by Accenture, then such excess shall be due within thirty (30) days after the end of the applicable Contract Year.</w:t>
      </w:r>
    </w:p>
    <w:p>
      <w:pPr>
        <w:pStyle w:val="VENumbered3"/>
        <w:numPr>
          <w:ilvl w:val="2"/>
          <w:numId w:val="7"/>
        </w:numPr>
        <w:ind w:hanging="0" w:start="0"/>
        <w:rPr/>
      </w:pPr>
      <w:r>
        <w:rPr/>
        <w:t>Any amounts owed by Enron to Accenture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Accenture under this Agreement shall be paid in U.S. dollars.</w:t>
      </w:r>
    </w:p>
    <w:p>
      <w:pPr>
        <w:pStyle w:val="VENumbered3"/>
        <w:numPr>
          <w:ilvl w:val="2"/>
          <w:numId w:val="7"/>
        </w:numPr>
        <w:ind w:hanging="0" w:start="0"/>
        <w:rPr/>
      </w:pPr>
      <w:r>
        <w:rPr/>
        <w:t>Enron shall maintain accurate records and supporting documentation, in reasonable detail, to evidence the amount of the Enron Payments that may become payable pursuant to this Agreement.</w:t>
      </w:r>
    </w:p>
    <w:p>
      <w:pPr>
        <w:pStyle w:val="VENumbered2"/>
        <w:numPr>
          <w:ilvl w:val="1"/>
          <w:numId w:val="7"/>
        </w:numPr>
        <w:ind w:hanging="0" w:start="0"/>
        <w:rPr/>
      </w:pPr>
      <w:bookmarkStart w:id="50" w:name="__RefHeading___Toc515639064"/>
      <w:r>
        <w:rPr/>
        <w:t>Audit Rights.</w:t>
      </w:r>
      <w:bookmarkEnd w:id="50"/>
      <w:r>
        <w:rPr/>
        <w:t xml:space="preserve"> </w:t>
      </w:r>
    </w:p>
    <w:p>
      <w:pPr>
        <w:pStyle w:val="VENumbered3"/>
        <w:numPr>
          <w:ilvl w:val="2"/>
          <w:numId w:val="7"/>
        </w:numPr>
        <w:ind w:hanging="0" w:start="0"/>
        <w:rPr/>
      </w:pPr>
      <w:bookmarkStart w:id="51" w:name="_Ref515858956"/>
      <w:r>
        <w:rPr/>
        <w:t xml:space="preserve">Upon the request of either party from time to time (the “Requesting Party”), the other Party (the “Performing Party”)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quarter or year.  </w:t>
      </w:r>
      <w:bookmarkEnd w:id="51"/>
    </w:p>
    <w:p>
      <w:pPr>
        <w:pStyle w:val="VENumbered3"/>
        <w:numPr>
          <w:ilvl w:val="2"/>
          <w:numId w:val="7"/>
        </w:numPr>
        <w:ind w:hanging="0" w:start="0"/>
        <w:rPr/>
      </w:pPr>
      <w:r>
        <w:rPr/>
        <w:t>[In the event that either Party is claiming that the other Party is in default (other than payment default) under this Agreement, the non-breaching Party (also referred to as the Requesting Party) may request (i) if the breaching party is Accenture, an operational audit of the relevant components of the TSH Services or (ii) if the breaching party is Enron, an operational audit of the relevant components of the Enron Data Feed.  Such operational audit shall be carried out by a third party consultant designated in writing by the non-breaching Party (provided that such consultant may not be a competitor of the breaching Party).]</w:t>
      </w:r>
    </w:p>
    <w:p>
      <w:pPr>
        <w:pStyle w:val="VENumbered3"/>
        <w:numPr>
          <w:ilvl w:val="2"/>
          <w:numId w:val="7"/>
        </w:numPr>
        <w:ind w:hanging="0" w:start="0"/>
        <w:rPr/>
      </w:pPr>
      <w:r>
        <w:rPr/>
        <w:t xml:space="preserve">The Performing Party shall provide such independent auditors, third party consultants or other Requesting Party representatives, as the Requesting Party may from time to time designate in writing, with reasonable access during normal business hours to audit the Performing Party’s records evidencing the amount of payments payable pursuant to this Agreement, or to review the relevant operational components, as relevant.  The Requesting Party may audit such Performing Party records or operations only to the extent necessary to confirm that the Performing Party has properly calculated the amounts of payment payable pursuant to this Agreement, or to investigate the Performing Party’s default, as relevant.  Such audits may be carried out only after the Requesting Party has provided the Performing Party at least 30 days’ prior written notice.  Any such audits shall be conducted in a manner that will minimize the inconvenience to the Performing Party’s business and operations and that will maintain the confidentiality of the Performing Party’s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will use reasonable efforts to minimize the number of audits to be conducted in any calendar year.  If more that one financial audit and one operational audit are conducted in any calendar year, the Requesting Party shall reimburse the Performing Party for any costs and expenses incurred in connection therewith. </w:t>
      </w:r>
    </w:p>
    <w:p>
      <w:pPr>
        <w:pStyle w:val="VENumbered2"/>
        <w:numPr>
          <w:ilvl w:val="1"/>
          <w:numId w:val="7"/>
        </w:numPr>
        <w:ind w:hanging="0" w:start="0"/>
        <w:rPr>
          <w:vanish/>
          <w:color w:val="0000FF"/>
        </w:rPr>
      </w:pPr>
      <w:bookmarkStart w:id="52" w:name="__RefHeading___Toc515639065"/>
      <w:bookmarkEnd w:id="52"/>
      <w:r>
        <w:rPr/>
        <w:t>Taxes</w:t>
      </w:r>
    </w:p>
    <w:p>
      <w:pPr>
        <w:pStyle w:val="VEBodyText2"/>
        <w:rPr/>
      </w:pPr>
      <w:r>
        <w:rPr/>
        <w:t xml:space="preserve">.  Unless Accenture provides Enron with a valid resale certificate (or any other exemption certificate or information reasonably requested by Enron), Accenture shall be responsible for any sales, use, value-added and other taxes and duties (if any) payable by Accenture on the Transaction Data where the tax is imposed on Accenture’s and Customers’ use of such Transaction Data under this Agreement, provided that Accenture shall not be responsible for any taxes based on Enron’s net income or gross receipts, or any of Enron’s corporate franchise taxes.  The Parties shall use commercially reasonable efforts to cooperate with each other to enable each to more accurately determine its own tax liability and to minimize such liability to the extent legally permissible. </w:t>
      </w:r>
      <w:r>
        <w:rPr>
          <w:rStyle w:val="VEBold"/>
        </w:rPr>
        <w:t>[Subject to review and comment by tax advisors.]</w:t>
      </w:r>
    </w:p>
    <w:p>
      <w:pPr>
        <w:pStyle w:val="VENumbered1"/>
        <w:numPr>
          <w:ilvl w:val="0"/>
          <w:numId w:val="7"/>
        </w:numPr>
        <w:ind w:hanging="0" w:start="0"/>
        <w:rPr/>
      </w:pPr>
      <w:bookmarkStart w:id="53" w:name="__RefHeading___Toc515639066"/>
      <w:bookmarkEnd w:id="53"/>
      <w:r>
        <w:rPr/>
        <w:br/>
        <w:t>PROTECTION OF PROPRIETARY RIGHTS</w:t>
      </w:r>
    </w:p>
    <w:p>
      <w:pPr>
        <w:pStyle w:val="VENumbered2"/>
        <w:numPr>
          <w:ilvl w:val="1"/>
          <w:numId w:val="7"/>
        </w:numPr>
        <w:ind w:hanging="0" w:start="0"/>
        <w:rPr/>
      </w:pPr>
      <w:bookmarkStart w:id="54" w:name="__RefHeading___Toc515639067"/>
      <w:r>
        <w:rPr/>
        <w:t>Confidentiality.</w:t>
      </w:r>
      <w:bookmarkEnd w:id="54"/>
      <w:r>
        <w:rPr/>
        <w:t xml:space="preserve">  </w:t>
      </w:r>
    </w:p>
    <w:p>
      <w:pPr>
        <w:pStyle w:val="VENumbered3"/>
        <w:numPr>
          <w:ilvl w:val="2"/>
          <w:numId w:val="7"/>
        </w:numPr>
        <w:ind w:hanging="0" w:start="0"/>
        <w:rPr/>
      </w:pPr>
      <w:bookmarkStart w:id="55" w:name="_Ref515859113"/>
      <w:r>
        <w:rPr/>
        <w:t xml:space="preserve">Each of Enron and Accenture acknowledges and agrees that it may disclose to the other Party information that it considers proprietary and confidential.  Confidential Information includes (i) the </w:t>
      </w:r>
      <w:r>
        <w:rPr>
          <w:b/>
          <w:color w:val="FF0000"/>
        </w:rPr>
        <w:t>Customer-Specific Transaction Data</w:t>
      </w:r>
      <w:r>
        <w:rPr/>
        <w:t>, and (ii) other information relating to each parity’s business operations, services or technical knowledge that has been designated as such, either in writing or orally as confirmed in writing (the “Confidential Information”).  Notwithstanding the foregoing, Confidential Information specifically excludes any information that (i) is or becomes generally available to the public other than as a result of improper disclosure by the receiving party, (ii) becomes available to the receiving party from a third party who received such information on a non-confidential basis, (iii) was known by the receiving party at the time of its receipt and was not the subject of a pre-existing confidentiality obligation, or (iv) is independently developed by the receiving party without the use of the disclosing party’s Confidential Information.</w:t>
      </w:r>
      <w:bookmarkEnd w:id="55"/>
    </w:p>
    <w:p>
      <w:pPr>
        <w:pStyle w:val="VENumbered3"/>
        <w:numPr>
          <w:ilvl w:val="2"/>
          <w:numId w:val="7"/>
        </w:numPr>
        <w:ind w:hanging="0" w:start="0"/>
        <w:rPr/>
      </w:pPr>
      <w:r>
        <w:rPr/>
        <w:t xml:space="preserve">All Confidential Information communicated to the receiving party by the disclosing party in connection with the performance of this Agreement shall be received in confidence, used only for purposes of this Agreement and protected in the same manner as the receiving party protects its own Confidential Information, but in any event not less than a reasonable manner.  </w:t>
      </w:r>
    </w:p>
    <w:p>
      <w:pPr>
        <w:pStyle w:val="VENumbered3"/>
        <w:numPr>
          <w:ilvl w:val="2"/>
          <w:numId w:val="7"/>
        </w:numPr>
        <w:ind w:hanging="0" w:start="0"/>
        <w:rPr/>
      </w:pPr>
      <w:r>
        <w:rPr/>
        <w:t>The receiving party shall not disclose any Confidential Information to a third party (except as otherwise expressly permitted under this Agreement) except (i) as may be necessary by reason of legal, accounting or regulatory requirements applicable to the receiving party or disclosing party, or (ii) in respect of a validly initiated judicial or administrative process, including pursuant to a subpoena or request for documents, provided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w:t>
      </w:r>
    </w:p>
    <w:p>
      <w:pPr>
        <w:pStyle w:val="VENumbered3"/>
        <w:numPr>
          <w:ilvl w:val="2"/>
          <w:numId w:val="7"/>
        </w:numPr>
        <w:ind w:hanging="0" w:start="0"/>
        <w:rPr/>
      </w:pPr>
      <w:r>
        <w:rPr/>
        <w:t>The Parties may disclose to third parties the existence and general nature of this Agreement, but shall not disclose the terms, including the amount of the Minimum Annual Payments or Standard Transaction Fees payable hereunder.</w:t>
      </w:r>
    </w:p>
    <w:p>
      <w:pPr>
        <w:pStyle w:val="VENumbered2"/>
        <w:numPr>
          <w:ilvl w:val="1"/>
          <w:numId w:val="7"/>
        </w:numPr>
        <w:ind w:hanging="0" w:start="0"/>
        <w:rPr/>
      </w:pPr>
      <w:bookmarkStart w:id="56" w:name="__RefHeading___Toc515639068"/>
      <w:r>
        <w:rPr/>
        <w:t xml:space="preserve">Ownership of the </w:t>
      </w:r>
      <w:r>
        <w:rPr>
          <w:color w:val="FF6600"/>
        </w:rPr>
        <w:t>Customer-Specific Transaction Data</w:t>
      </w:r>
      <w:r>
        <w:rPr/>
        <w:t xml:space="preserve"> and the Software.</w:t>
      </w:r>
      <w:bookmarkEnd w:id="56"/>
      <w:r>
        <w:rPr/>
        <w:t xml:space="preserve">  </w:t>
      </w:r>
    </w:p>
    <w:p>
      <w:pPr>
        <w:pStyle w:val="VENumbered3"/>
        <w:numPr>
          <w:ilvl w:val="2"/>
          <w:numId w:val="7"/>
        </w:numPr>
        <w:ind w:hanging="0" w:start="0"/>
        <w:rPr/>
      </w:pPr>
      <w:r>
        <w:rPr/>
        <w:t xml:space="preserve">The </w:t>
      </w:r>
      <w:r>
        <w:rPr>
          <w:b/>
          <w:color w:val="FF6600"/>
        </w:rPr>
        <w:t>Customer-Specific Transaction Data</w:t>
      </w:r>
      <w:r>
        <w:rPr/>
        <w:t xml:space="preserve"> and the Software shall be and remain the property of Enron, and Accenture shall have no rights or interests therein except as contemplated under this Agreement.  </w:t>
      </w:r>
    </w:p>
    <w:p>
      <w:pPr>
        <w:pStyle w:val="VENumbered3"/>
        <w:numPr>
          <w:ilvl w:val="2"/>
          <w:numId w:val="7"/>
        </w:numPr>
        <w:ind w:hanging="0" w:start="0"/>
        <w:rPr/>
      </w:pPr>
      <w:bookmarkStart w:id="57" w:name="_Ref516191060"/>
      <w:r>
        <w:rPr/>
        <w:t>Subject to Enron’s rights in the SmartClient Software and associated Intellectual Property rights, Accenture will be the sole and exclusive owner of all Software Derivatives developed and made by Accenture (“Accenture Works”).</w:t>
      </w:r>
      <w:bookmarkEnd w:id="57"/>
      <w:r>
        <w:rPr/>
        <w:t xml:space="preserve">  </w:t>
      </w:r>
    </w:p>
    <w:p>
      <w:pPr>
        <w:pStyle w:val="VENumbered3"/>
        <w:numPr>
          <w:ilvl w:val="2"/>
          <w:numId w:val="7"/>
        </w:numPr>
        <w:ind w:hanging="0" w:start="0"/>
        <w:rPr/>
      </w:pPr>
      <w:r>
        <w:rPr/>
        <w:t xml:space="preserve">Enron will be the sole and exclusive owner of all Software Derivatives relating to the SmartClient Software developed and made by Enron.  </w:t>
      </w:r>
    </w:p>
    <w:p>
      <w:pPr>
        <w:pStyle w:val="VENumbered2"/>
        <w:numPr>
          <w:ilvl w:val="1"/>
          <w:numId w:val="7"/>
        </w:numPr>
        <w:ind w:hanging="0" w:start="0"/>
        <w:rPr>
          <w:vanish/>
          <w:color w:val="0000FF"/>
        </w:rPr>
      </w:pPr>
      <w:bookmarkStart w:id="58" w:name="__RefHeading___Toc515639069"/>
      <w:bookmarkEnd w:id="58"/>
      <w:r>
        <w:rPr/>
        <w:t>Accenture Operating Data</w:t>
      </w:r>
    </w:p>
    <w:p>
      <w:pPr>
        <w:pStyle w:val="VEBodyText2"/>
        <w:rPr/>
      </w:pPr>
      <w:r>
        <w:rPr/>
        <w:t xml:space="preserve">.  Any data regarding the operations of Accenture or its Customers provided by Accenture to Enron pursuant to this Agreement shall remain the property of Accenture.  Upon any expiration or termination of this Agreement for any reason, Enron shall promptly return such data to Accenture in a form reasonably requested by Accenture or, if Accenture so elects, destroy it.  </w:t>
      </w:r>
    </w:p>
    <w:p>
      <w:pPr>
        <w:pStyle w:val="VENumbered1"/>
        <w:numPr>
          <w:ilvl w:val="0"/>
          <w:numId w:val="7"/>
        </w:numPr>
        <w:ind w:hanging="0" w:start="0"/>
        <w:rPr/>
      </w:pPr>
      <w:bookmarkStart w:id="59" w:name="__RefHeading___Toc515639070"/>
      <w:bookmarkEnd w:id="59"/>
      <w:r>
        <w:rPr/>
        <w:br/>
        <w:t>TERM; TERMINATION</w:t>
      </w:r>
    </w:p>
    <w:p>
      <w:pPr>
        <w:pStyle w:val="VENumbered2"/>
        <w:numPr>
          <w:ilvl w:val="1"/>
          <w:numId w:val="7"/>
        </w:numPr>
        <w:ind w:hanging="0" w:start="0"/>
        <w:rPr>
          <w:vanish/>
          <w:color w:val="0000FF"/>
        </w:rPr>
      </w:pPr>
      <w:bookmarkStart w:id="60" w:name="__RefHeading___Toc515639071"/>
      <w:bookmarkStart w:id="61" w:name="_Ref515859061"/>
      <w:bookmarkEnd w:id="60"/>
      <w:r>
        <w:rPr/>
        <w:t>Term</w:t>
      </w:r>
      <w:bookmarkEnd w:id="61"/>
    </w:p>
    <w:p>
      <w:pPr>
        <w:pStyle w:val="VEBodyText2"/>
        <w:rPr/>
      </w:pPr>
      <w:r>
        <w:rPr/>
        <w:t xml:space="preserve">.  The term of this Agreement (“Term”) will commence on the Effective Date and, unless earlier terminated in accordance with Section </w:t>
      </w:r>
      <w:r>
        <w:rPr/>
        <w:fldChar w:fldCharType="begin"/>
      </w:r>
      <w:r>
        <w:rPr/>
        <w:instrText xml:space="preserve"> REF _Ref515692525 \r \r \h </w:instrText>
      </w:r>
      <w:r>
        <w:rPr/>
        <w:fldChar w:fldCharType="separate"/>
      </w:r>
      <w:r>
        <w:rPr/>
        <w:t>7.2</w:t>
      </w:r>
      <w:r>
        <w:rPr/>
        <w:fldChar w:fldCharType="end"/>
      </w:r>
      <w:r>
        <w:rPr/>
        <w:t xml:space="preserve"> or </w:t>
      </w:r>
      <w:r>
        <w:rPr/>
        <w:fldChar w:fldCharType="begin"/>
      </w:r>
      <w:r>
        <w:rPr/>
        <w:instrText xml:space="preserve"> REF _Ref515692545 \r \r \h </w:instrText>
      </w:r>
      <w:r>
        <w:rPr/>
        <w:fldChar w:fldCharType="separate"/>
      </w:r>
      <w:r>
        <w:rPr/>
        <w:t>7.3</w:t>
      </w:r>
      <w:r>
        <w:rPr/>
        <w:fldChar w:fldCharType="end"/>
      </w:r>
      <w:r>
        <w:rPr/>
        <w:t xml:space="preserve"> will continue until the five-year anniversary of the Enron Data Feed Connection Date.  This Agreement will expire on such fifth anniversary unless extended by the mutual agreement of the parties, as evidenced by a written amendment to this Agreement.  </w:t>
      </w:r>
    </w:p>
    <w:p>
      <w:pPr>
        <w:pStyle w:val="VENumbered2"/>
        <w:numPr>
          <w:ilvl w:val="1"/>
          <w:numId w:val="7"/>
        </w:numPr>
        <w:ind w:hanging="0" w:start="0"/>
        <w:rPr>
          <w:vanish/>
          <w:color w:val="0000FF"/>
        </w:rPr>
      </w:pPr>
      <w:bookmarkStart w:id="62" w:name="__RefHeading___Toc515639072"/>
      <w:bookmarkStart w:id="63" w:name="_Ref515697590"/>
      <w:bookmarkStart w:id="64" w:name="_Ref515694163"/>
      <w:bookmarkStart w:id="65" w:name="_Ref515692525"/>
      <w:bookmarkEnd w:id="62"/>
      <w:r>
        <w:rPr/>
        <w:t>Termination by Enron</w:t>
      </w:r>
      <w:bookmarkEnd w:id="63"/>
      <w:bookmarkEnd w:id="64"/>
      <w:bookmarkEnd w:id="65"/>
    </w:p>
    <w:p>
      <w:pPr>
        <w:pStyle w:val="VEBodyText2"/>
        <w:rPr/>
      </w:pPr>
      <w:r>
        <w:rPr/>
        <w:t>.  Upon the occurrence of any of the following:</w:t>
      </w:r>
    </w:p>
    <w:p>
      <w:pPr>
        <w:pStyle w:val="VENumbered3"/>
        <w:numPr>
          <w:ilvl w:val="2"/>
          <w:numId w:val="7"/>
        </w:numPr>
        <w:ind w:hanging="0" w:start="0"/>
        <w:rPr/>
      </w:pPr>
      <w:r>
        <w:rPr/>
        <w:t>The Enron Data Feed Connection Date shall not have occurred on or before the Enron Data Feed Connection Deadline.</w:t>
      </w:r>
    </w:p>
    <w:p>
      <w:pPr>
        <w:pStyle w:val="VENumbered3"/>
        <w:keepNext w:val="true"/>
        <w:numPr>
          <w:ilvl w:val="2"/>
          <w:numId w:val="7"/>
        </w:numPr>
        <w:ind w:hanging="0" w:start="0"/>
        <w:rPr/>
      </w:pPr>
      <w:r>
        <w:rPr/>
        <w:t>The TSH Launch Date shall not have occurred on or before the first anniversary of the Enron Data Feed Connection Date, or such other date as may be mutually agreed by the parties;</w:t>
      </w:r>
    </w:p>
    <w:p>
      <w:pPr>
        <w:pStyle w:val="VENumbered3"/>
        <w:numPr>
          <w:ilvl w:val="2"/>
          <w:numId w:val="7"/>
        </w:numPr>
        <w:ind w:hanging="0" w:start="0"/>
        <w:rPr/>
      </w:pPr>
      <w:bookmarkStart w:id="66" w:name="_Ref515693942"/>
      <w:r>
        <w:rPr/>
        <w:t>Accenture defaults in the payment when due of any amount due hereunder, which default is not cured within [15] days after written notice specifying the default is given to Accenture.</w:t>
      </w:r>
      <w:bookmarkEnd w:id="66"/>
    </w:p>
    <w:p>
      <w:pPr>
        <w:pStyle w:val="VENumbered3"/>
        <w:numPr>
          <w:ilvl w:val="2"/>
          <w:numId w:val="7"/>
        </w:numPr>
        <w:ind w:hanging="0" w:start="0"/>
        <w:rPr/>
      </w:pPr>
      <w:r>
        <w:rPr/>
        <w:t>A Bankruptcy Event shall have occurred with respect to Accenture;</w:t>
      </w:r>
    </w:p>
    <w:p>
      <w:pPr>
        <w:pStyle w:val="VENumbered3"/>
        <w:numPr>
          <w:ilvl w:val="2"/>
          <w:numId w:val="7"/>
        </w:numPr>
        <w:ind w:hanging="0" w:start="0"/>
        <w:rPr/>
      </w:pPr>
      <w:r>
        <w:rPr/>
        <w:t>An Accenture Operational Failure shall have occurred;</w:t>
      </w:r>
    </w:p>
    <w:p>
      <w:pPr>
        <w:pStyle w:val="VENumbered3"/>
        <w:numPr>
          <w:ilvl w:val="2"/>
          <w:numId w:val="7"/>
        </w:numPr>
        <w:ind w:hanging="0" w:start="0"/>
        <w:rPr/>
      </w:pPr>
      <w:r>
        <w:rPr/>
        <w:t>A Change of Control shall have occurred with respect to Accenture;</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Accenture shall be in breach of any provision of this Agreement, and such breach has not been cured within sixty (60) days after Accenture’s receipt of a written notice of such default; </w:t>
      </w:r>
    </w:p>
    <w:p>
      <w:pPr>
        <w:pStyle w:val="VENumbered3"/>
        <w:numPr>
          <w:ilvl w:val="0"/>
          <w:numId w:val="0"/>
        </w:numPr>
        <w:ind w:hanging="0" w:start="0"/>
        <w:rPr/>
      </w:pPr>
      <w:r>
        <w:rPr/>
        <w:t>then Enron may, upon thirty (30) days prior written notice to Accenture, terminate this Agreement, and/or seek damages or other relief to which it may be entitled in law or under equity; provided, however, that pending (by virtue of any cure or notice period that is provided in this Agreement) any such termination of this Agreement, upon written notice to Accenture, Enron may suspend, disable, deactivate and/or remove the Enron Data Feed during any applicable cure period.</w:t>
      </w:r>
    </w:p>
    <w:p>
      <w:pPr>
        <w:pStyle w:val="VENumbered2"/>
        <w:numPr>
          <w:ilvl w:val="1"/>
          <w:numId w:val="7"/>
        </w:numPr>
        <w:ind w:hanging="0" w:start="0"/>
        <w:rPr>
          <w:vanish/>
          <w:color w:val="0000FF"/>
        </w:rPr>
      </w:pPr>
      <w:bookmarkStart w:id="67" w:name="__RefHeading___Toc515639073"/>
      <w:bookmarkStart w:id="68" w:name="_Ref515697568"/>
      <w:bookmarkStart w:id="69" w:name="_Ref515695580"/>
      <w:bookmarkStart w:id="70" w:name="_Ref515692545"/>
      <w:bookmarkEnd w:id="67"/>
      <w:r>
        <w:rPr/>
        <w:t>Termination by Accenture</w:t>
      </w:r>
      <w:bookmarkEnd w:id="68"/>
      <w:bookmarkEnd w:id="69"/>
      <w:bookmarkEnd w:id="70"/>
    </w:p>
    <w:p>
      <w:pPr>
        <w:pStyle w:val="VEBodyText2"/>
        <w:rPr/>
      </w:pPr>
      <w:r>
        <w:rPr/>
        <w:t>.  Accenture may, by giving written notice to Enron, terminate this Agreement only under the following circumstances:</w:t>
      </w:r>
    </w:p>
    <w:p>
      <w:pPr>
        <w:pStyle w:val="VENumbered3"/>
        <w:numPr>
          <w:ilvl w:val="2"/>
          <w:numId w:val="7"/>
        </w:numPr>
        <w:ind w:hanging="0" w:start="0"/>
        <w:rPr/>
      </w:pPr>
      <w:r>
        <w:rPr/>
        <w:t xml:space="preserve">The Enron Data Feed Delivery Date shall not have occurred on or before the Enron Data Feed Connection Deadline; </w:t>
      </w:r>
    </w:p>
    <w:p>
      <w:pPr>
        <w:pStyle w:val="VENumbered3"/>
        <w:numPr>
          <w:ilvl w:val="2"/>
          <w:numId w:val="7"/>
        </w:numPr>
        <w:ind w:hanging="0" w:start="0"/>
        <w:rPr/>
      </w:pPr>
      <w:bookmarkStart w:id="71" w:name="_Ref515693984"/>
      <w:r>
        <w:rPr/>
        <w:t>Enron defaults in the payment when due of any amount due by Enron hereunder, which default is not cured within [15] days after written notice specifying the default is delivered to Enron;</w:t>
      </w:r>
      <w:bookmarkEnd w:id="71"/>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Accenture Regulatory Event shall have occurred that shall not have been suspended, terminated, remedied or otherwise resolved to the reasonable satisfaction of Accenture within five (5) days of Enron’s receipt of written notice of the occurrence of such event;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 xml:space="preserve">Enron terminates or indefinitely suspends transactions on the Enron Platform </w:t>
      </w:r>
    </w:p>
    <w:p>
      <w:pPr>
        <w:pStyle w:val="VENumbered3"/>
        <w:numPr>
          <w:ilvl w:val="2"/>
          <w:numId w:val="7"/>
        </w:numPr>
        <w:ind w:hanging="0" w:start="0"/>
        <w:rPr/>
      </w:pPr>
      <w:r>
        <w:rPr/>
        <w:t xml:space="preserve">Enron fails to meet the Service Levels </w:t>
      </w:r>
      <w:r>
        <w:rPr>
          <w:b/>
          <w:bCs/>
        </w:rPr>
        <w:t>[Need to define what would constitute a “service level termination event” after we see the service levels]</w:t>
      </w:r>
      <w:r>
        <w:rPr/>
        <w:t>;</w:t>
      </w:r>
    </w:p>
    <w:p>
      <w:pPr>
        <w:pStyle w:val="VENumbered2"/>
        <w:numPr>
          <w:ilvl w:val="1"/>
          <w:numId w:val="7"/>
        </w:numPr>
        <w:ind w:hanging="0" w:start="0"/>
        <w:rPr>
          <w:vanish/>
          <w:color w:val="0000FF"/>
        </w:rPr>
      </w:pPr>
      <w:bookmarkStart w:id="72" w:name="__RefHeading___Toc515639074"/>
      <w:bookmarkEnd w:id="72"/>
      <w:r>
        <w:rPr/>
        <w:t>Termination Disputed</w:t>
      </w:r>
    </w:p>
    <w:p>
      <w:pPr>
        <w:pStyle w:val="VEBodyText2"/>
        <w:rPr/>
      </w:pPr>
      <w:r>
        <w:rPr/>
        <w:t xml:space="preserve">.  [Notwithstanding any provision to the contrary in this Agreement, no termination pursuant to Section _______ which is disputed in good faith by either Party pursuant to Section </w:t>
      </w:r>
      <w:r>
        <w:rPr/>
        <w:fldChar w:fldCharType="begin"/>
      </w:r>
      <w:r>
        <w:rPr/>
        <w:instrText xml:space="preserve"> REF _Ref515693816 \r \r \h </w:instrText>
      </w:r>
      <w:r>
        <w:rPr/>
        <w:fldChar w:fldCharType="separate"/>
      </w:r>
      <w:r>
        <w:rPr/>
        <w:t>10.13</w:t>
      </w:r>
      <w:r>
        <w:rPr/>
        <w:fldChar w:fldCharType="end"/>
      </w:r>
      <w:r>
        <w:rPr/>
        <w:t xml:space="preserve"> shall be effective except upon the final resolution of the dispute pursuant to Section </w:t>
      </w:r>
      <w:r>
        <w:rPr/>
        <w:fldChar w:fldCharType="begin"/>
      </w:r>
      <w:r>
        <w:rPr/>
        <w:instrText xml:space="preserve"> REF _Ref515693849 \r \r \h </w:instrText>
      </w:r>
      <w:r>
        <w:rPr/>
        <w:fldChar w:fldCharType="separate"/>
      </w:r>
      <w:r>
        <w:rPr/>
        <w:t>10.13</w:t>
      </w:r>
      <w:r>
        <w:rPr/>
        <w:fldChar w:fldCharType="end"/>
      </w:r>
      <w:r>
        <w:rPr/>
        <w:t xml:space="preserve">; provided, however, that in connection with any termination notice delivered pursuant to Section </w:t>
      </w:r>
      <w:r>
        <w:rPr/>
        <w:fldChar w:fldCharType="begin"/>
      </w:r>
      <w:r>
        <w:rPr/>
        <w:instrText xml:space="preserve"> REF _Ref515693942 \r \r \h </w:instrText>
      </w:r>
      <w:r>
        <w:rPr/>
        <w:fldChar w:fldCharType="separate"/>
      </w:r>
      <w:r>
        <w:rPr/>
        <w:t>(c)</w:t>
      </w:r>
      <w:r>
        <w:rPr/>
        <w:fldChar w:fldCharType="end"/>
      </w:r>
      <w:r>
        <w:rPr/>
        <w:t xml:space="preserve"> or </w:t>
      </w:r>
      <w:r>
        <w:rPr/>
        <w:fldChar w:fldCharType="begin"/>
      </w:r>
      <w:r>
        <w:rPr/>
        <w:instrText xml:space="preserve"> REF _Ref515693984 \r \r \h </w:instrText>
      </w:r>
      <w:r>
        <w:rPr/>
        <w:fldChar w:fldCharType="separate"/>
      </w:r>
      <w:r>
        <w:rPr/>
        <w:t>(b)</w:t>
      </w:r>
      <w:r>
        <w:rPr/>
        <w:fldChar w:fldCharType="end"/>
      </w:r>
      <w:r>
        <w:rPr/>
        <w:t xml:space="preserve"> relating to an alleged underpayment of an amount owed hereunder, to the extent that a final resolution of the dispute requires that one Party pay the other Party an additional amount in respect of such amounts owed, if such additional amount is paid, together with any interest thereon, within ten days after notice of such final resolution is received by the parties, then this Agreement shall not terminate as a result of such termination notice or final resolution but shall continue to be in full force and effect in accordance with its terms, and such termination notice or final resolution shall be deemed null and void.] </w:t>
      </w:r>
      <w:r>
        <w:rPr>
          <w:b/>
          <w:bCs/>
        </w:rPr>
        <w:t>[Discuss.]</w:t>
      </w:r>
    </w:p>
    <w:p>
      <w:pPr>
        <w:pStyle w:val="VENumbered2"/>
        <w:numPr>
          <w:ilvl w:val="1"/>
          <w:numId w:val="7"/>
        </w:numPr>
        <w:ind w:hanging="0" w:start="0"/>
        <w:rPr>
          <w:vanish/>
          <w:color w:val="0000FF"/>
        </w:rPr>
      </w:pPr>
      <w:bookmarkStart w:id="73" w:name="__RefHeading___Toc515639075"/>
      <w:bookmarkStart w:id="74" w:name="_Ref515694943"/>
      <w:bookmarkStart w:id="75" w:name="_Ref515694625"/>
      <w:bookmarkEnd w:id="73"/>
      <w:r>
        <w:rPr/>
        <w:t>Effect of Termination</w:t>
      </w:r>
      <w:bookmarkEnd w:id="74"/>
      <w:bookmarkEnd w:id="75"/>
    </w:p>
    <w:p>
      <w:pPr>
        <w:pStyle w:val="VEBodyText2"/>
        <w:rPr/>
      </w:pPr>
      <w:r>
        <w:rPr/>
        <w:t xml:space="preserve">.  Enron acknowledges that, upon receipt of Customer-Specific Transaction Data from Accenture or from Enron, each Qualified Customer or Enron Customer shall have the unqualified right to use and manipulate such data, regardless of whether this Agreement remains in effect.   </w:t>
      </w:r>
    </w:p>
    <w:p>
      <w:pPr>
        <w:pStyle w:val="VENumbered2"/>
        <w:numPr>
          <w:ilvl w:val="1"/>
          <w:numId w:val="7"/>
        </w:numPr>
        <w:ind w:hanging="0" w:start="0"/>
        <w:rPr/>
      </w:pPr>
      <w:bookmarkStart w:id="76" w:name="_Ref515694630"/>
      <w:bookmarkStart w:id="77" w:name="__RefHeading___Toc515639076"/>
      <w:r>
        <w:rPr/>
        <w:t>Rights Upon Expiration or Termination.</w:t>
      </w:r>
      <w:bookmarkEnd w:id="76"/>
      <w:bookmarkEnd w:id="77"/>
      <w:r>
        <w:rPr/>
        <w:t xml:space="preserve">  </w:t>
      </w:r>
    </w:p>
    <w:p>
      <w:pPr>
        <w:pStyle w:val="VENumbered3"/>
        <w:numPr>
          <w:ilvl w:val="2"/>
          <w:numId w:val="7"/>
        </w:numPr>
        <w:ind w:hanging="0" w:start="0"/>
        <w:rPr/>
      </w:pPr>
      <w:bookmarkStart w:id="78" w:name="_Ref515694966"/>
      <w:r>
        <w:rPr/>
        <w:t xml:space="preserve">Upon any expiration or termination of this Agreement by Accenture  pursuant to Section </w:t>
      </w:r>
      <w:r>
        <w:rPr/>
        <w:fldChar w:fldCharType="begin"/>
      </w:r>
      <w:r>
        <w:rPr/>
        <w:instrText xml:space="preserve"> REF _Ref515697568 \w \w \h </w:instrText>
      </w:r>
      <w:r>
        <w:rPr/>
        <w:fldChar w:fldCharType="separate"/>
      </w:r>
      <w:r>
        <w:rPr/>
        <w:t>7.3</w:t>
      </w:r>
      <w:r>
        <w:rPr/>
        <w:fldChar w:fldCharType="end"/>
      </w:r>
      <w:r>
        <w:rPr/>
        <w:t xml:space="preserve"> or by Enron pursuant to Section 7.2 (other than Sections 7.2(b) or (h)), (i) if the amounts paid under Section 5.1 for the then-current Contract Year are less than the Minimum Annual Payment for that Contract Year, Accenture shall pay Enron the difference between the amount already paid pursuant to Section 5.1 for that Contract Year and an amount equal to the product of (x) the Minimum Annual Payment specified on Schedule 5.1 divided by 365, multiplied by (y) the elapsed number of days in the then current Contract Year through the effective date of such expiration or termination and (ii) Enron shall pay Accenture all Enron Payments accrued and unpaid through the effective date of such expiration or termination.</w:t>
      </w:r>
      <w:bookmarkEnd w:id="78"/>
    </w:p>
    <w:p>
      <w:pPr>
        <w:pStyle w:val="VENumbered3"/>
        <w:numPr>
          <w:ilvl w:val="2"/>
          <w:numId w:val="7"/>
        </w:numPr>
        <w:ind w:hanging="0" w:start="0"/>
        <w:rPr/>
      </w:pPr>
      <w:r>
        <w:rPr/>
        <w:t xml:space="preserve">Upon any termination of this Agreement by Enron pursuant to Sections </w:t>
      </w:r>
      <w:r>
        <w:rPr/>
        <w:fldChar w:fldCharType="begin"/>
      </w:r>
      <w:r>
        <w:rPr/>
        <w:instrText xml:space="preserve"> REF _Ref515697590 \w \w \h </w:instrText>
      </w:r>
      <w:r>
        <w:rPr/>
        <w:fldChar w:fldCharType="separate"/>
      </w:r>
      <w:r>
        <w:rPr/>
        <w:t>7.2</w:t>
      </w:r>
      <w:r>
        <w:rPr/>
        <w:fldChar w:fldCharType="end"/>
      </w:r>
      <w:r>
        <w:rPr/>
        <w:t>(b) or (h), Accenture shall pay, as liquidated damages, the Minimum Annual Payments specified on Schedule 5.1 for any remaining Contract Years.</w:t>
      </w:r>
    </w:p>
    <w:p>
      <w:pPr>
        <w:pStyle w:val="VENumbered3"/>
        <w:numPr>
          <w:ilvl w:val="2"/>
          <w:numId w:val="7"/>
        </w:numPr>
        <w:ind w:hanging="0" w:start="0"/>
        <w:rPr/>
      </w:pPr>
      <w:r>
        <w:rPr/>
        <w:t xml:space="preserve">Upon any expiration or termination of this Agreement and subject to the provisions of this Agreement, (i) Accenture shall discontinue use of the Enron Data Feed and (ii) each Party shall promptly return to the other Party or, at the request of the other Party, destroy all Confidential Information in such Party’s possession.  </w:t>
      </w:r>
    </w:p>
    <w:p>
      <w:pPr>
        <w:pStyle w:val="VENumbered3"/>
        <w:numPr>
          <w:ilvl w:val="2"/>
          <w:numId w:val="7"/>
        </w:numPr>
        <w:ind w:hanging="0" w:start="0"/>
        <w:rPr/>
      </w:pPr>
      <w:r>
        <w:rPr/>
        <w:t xml:space="preserve">Upon any expiration or termination of this Agreement, neither Accenture nor any Qualified Customer shall be obligated to return any Transaction Data received during the term of this Agreement.  </w:t>
      </w:r>
    </w:p>
    <w:p>
      <w:pPr>
        <w:pStyle w:val="VENumbered2"/>
        <w:numPr>
          <w:ilvl w:val="1"/>
          <w:numId w:val="7"/>
        </w:numPr>
        <w:ind w:hanging="0" w:start="0"/>
        <w:rPr>
          <w:vanish/>
          <w:color w:val="0000FF"/>
        </w:rPr>
      </w:pPr>
      <w:bookmarkStart w:id="79" w:name="__RefHeading___Toc515639077"/>
      <w:bookmarkEnd w:id="79"/>
      <w:r>
        <w:rPr/>
        <w:t>Survival of Certain Provisions</w:t>
      </w:r>
    </w:p>
    <w:p>
      <w:pPr>
        <w:pStyle w:val="VEBodyText2"/>
        <w:rPr/>
      </w:pPr>
      <w:r>
        <w:rPr/>
        <w:t xml:space="preserve">.  The provisions of Articles VI, IX, and X (other than Section </w:t>
      </w:r>
      <w:r>
        <w:rPr/>
        <w:fldChar w:fldCharType="begin"/>
      </w:r>
      <w:r>
        <w:rPr/>
        <w:instrText xml:space="preserve"> REF _Ref515695447 \r \r \h </w:instrText>
      </w:r>
      <w:r>
        <w:rPr/>
        <w:fldChar w:fldCharType="separate"/>
      </w:r>
      <w:r>
        <w:rPr/>
        <w:t>10.1</w:t>
      </w:r>
      <w:r>
        <w:rPr/>
        <w:fldChar w:fldCharType="end"/>
      </w:r>
      <w:r>
        <w:rPr/>
        <w:t xml:space="preserve">), Sections  </w:t>
      </w:r>
      <w:r>
        <w:rPr/>
        <w:fldChar w:fldCharType="begin"/>
      </w:r>
      <w:r>
        <w:rPr/>
        <w:instrText xml:space="preserve"> REF _Ref515694625 \r \r \h </w:instrText>
      </w:r>
      <w:r>
        <w:rPr/>
        <w:fldChar w:fldCharType="separate"/>
      </w:r>
      <w:r>
        <w:rPr/>
        <w:t>7.5</w:t>
      </w:r>
      <w:r>
        <w:rPr/>
        <w:fldChar w:fldCharType="end"/>
      </w:r>
      <w:r>
        <w:rPr/>
        <w:t xml:space="preserve"> and </w:t>
      </w:r>
      <w:r>
        <w:rPr/>
        <w:fldChar w:fldCharType="begin"/>
      </w:r>
      <w:r>
        <w:rPr/>
        <w:instrText xml:space="preserve"> REF _Ref515694630 \r \r \h </w:instrText>
      </w:r>
      <w:r>
        <w:rPr/>
        <w:fldChar w:fldCharType="separate"/>
      </w:r>
      <w:r>
        <w:rPr/>
        <w:t>7.6</w:t>
      </w:r>
      <w:r>
        <w:rPr/>
        <w:fldChar w:fldCharType="end"/>
      </w:r>
      <w:r>
        <w:rPr/>
        <w:t xml:space="preserve">, and Article V to the extent required by Sections </w:t>
      </w:r>
      <w:r>
        <w:rPr/>
        <w:fldChar w:fldCharType="begin"/>
      </w:r>
      <w:r>
        <w:rPr/>
        <w:instrText xml:space="preserve"> REF _Ref515694943 \r \r \h </w:instrText>
      </w:r>
      <w:r>
        <w:rPr/>
        <w:fldChar w:fldCharType="separate"/>
      </w:r>
      <w:r>
        <w:rPr/>
        <w:t>7.5</w:t>
      </w:r>
      <w:r>
        <w:rPr/>
        <w:fldChar w:fldCharType="end"/>
      </w:r>
      <w:r>
        <w:rPr/>
        <w:t xml:space="preserve"> and </w:t>
      </w:r>
      <w:r>
        <w:rPr/>
        <w:fldChar w:fldCharType="begin"/>
      </w:r>
      <w:r>
        <w:rPr/>
        <w:instrText xml:space="preserve"> REF _Ref515694966 \r \r \h </w:instrText>
      </w:r>
      <w:r>
        <w:rPr/>
        <w:fldChar w:fldCharType="separate"/>
      </w:r>
      <w:r>
        <w:rPr/>
        <w:t>(a)</w:t>
      </w:r>
      <w:r>
        <w:rPr/>
        <w:fldChar w:fldCharType="end"/>
      </w:r>
      <w:r>
        <w:rPr/>
        <w:t xml:space="preserve">, shall survive expiration of any termination of this Agreement for any reason.  </w:t>
      </w:r>
    </w:p>
    <w:p>
      <w:pPr>
        <w:pStyle w:val="VENumbered1"/>
        <w:numPr>
          <w:ilvl w:val="0"/>
          <w:numId w:val="7"/>
        </w:numPr>
        <w:ind w:hanging="0" w:start="0"/>
        <w:rPr/>
      </w:pPr>
      <w:bookmarkStart w:id="80" w:name="__RefHeading___Toc515639078"/>
      <w:bookmarkEnd w:id="80"/>
      <w:r>
        <w:rPr/>
        <w:br/>
        <w:t>REPRESENTATIONS AND WARRANTIES</w:t>
      </w:r>
    </w:p>
    <w:p>
      <w:pPr>
        <w:pStyle w:val="VENumbered2"/>
        <w:numPr>
          <w:ilvl w:val="1"/>
          <w:numId w:val="7"/>
        </w:numPr>
        <w:ind w:hanging="0" w:start="0"/>
        <w:rPr>
          <w:vanish/>
          <w:color w:val="0000FF"/>
        </w:rPr>
      </w:pPr>
      <w:bookmarkStart w:id="81" w:name="__RefHeading___Toc515639079"/>
      <w:bookmarkStart w:id="82" w:name="_Ref515695966"/>
      <w:bookmarkEnd w:id="81"/>
      <w:r>
        <w:rPr/>
        <w:t>Representations and Warranties of Enron</w:t>
      </w:r>
      <w:bookmarkEnd w:id="82"/>
    </w:p>
    <w:p>
      <w:pPr>
        <w:pStyle w:val="VEBodyText2"/>
        <w:rPr/>
      </w:pPr>
      <w:r>
        <w:rPr/>
        <w:t>.  Enron hereby represents and warrants to Accenture that:</w:t>
      </w:r>
    </w:p>
    <w:p>
      <w:pPr>
        <w:pStyle w:val="VENumbered3"/>
        <w:numPr>
          <w:ilvl w:val="2"/>
          <w:numId w:val="7"/>
        </w:numPr>
        <w:ind w:hanging="0" w:start="0"/>
        <w:rPr/>
      </w:pPr>
      <w:r>
        <w:rPr/>
        <w:t xml:space="preserve">Enron is the sole and exclusive owner of the Software and has the right to grant the Software License hereunder.  </w:t>
      </w:r>
    </w:p>
    <w:p>
      <w:pPr>
        <w:pStyle w:val="VENumbered3"/>
        <w:numPr>
          <w:ilvl w:val="2"/>
          <w:numId w:val="7"/>
        </w:numPr>
        <w:ind w:hanging="0" w:start="0"/>
        <w:rPr/>
      </w:pPr>
      <w:r>
        <w:rPr/>
        <w:t>The execution and delivery of this Agreement by Enron and the performance of this Agreement by Enron does not and will not conflict with, or constitute a breach of, any instrument or agreement binding on Enron.</w:t>
      </w:r>
    </w:p>
    <w:p>
      <w:pPr>
        <w:pStyle w:val="VENumbered3"/>
        <w:numPr>
          <w:ilvl w:val="2"/>
          <w:numId w:val="7"/>
        </w:numPr>
        <w:ind w:hanging="0" w:start="0"/>
        <w:rPr/>
      </w:pPr>
      <w:r>
        <w:rPr/>
        <w:t xml:space="preserve">Upon each transmission of the </w:t>
      </w:r>
      <w:r>
        <w:rPr>
          <w:b/>
          <w:color w:val="FF6600"/>
        </w:rPr>
        <w:t>Customer-Specific Transaction Data</w:t>
      </w:r>
      <w:r>
        <w:rPr/>
        <w:t xml:space="preserve"> to Accenture for Qualified Customers, assuming the validity of the Customer’s consent to release its data to Accenture, (i) Enron will have all rights to such Transaction Data necessary to give effect to the license contained in Section </w:t>
      </w:r>
      <w:r>
        <w:rPr/>
        <w:fldChar w:fldCharType="begin"/>
      </w:r>
      <w:r>
        <w:rPr/>
        <w:instrText xml:space="preserve"> REF _Ref515637493 \w \w \h </w:instrText>
      </w:r>
      <w:r>
        <w:rPr/>
        <w:fldChar w:fldCharType="separate"/>
      </w:r>
      <w:r>
        <w:rPr/>
        <w:t>3.1</w:t>
      </w:r>
      <w:r>
        <w:rPr/>
        <w:fldChar w:fldCharType="end"/>
      </w:r>
      <w:r>
        <w:rPr/>
        <w:t>, and (ii) the performance of this Agreement by Enron does not and will not conflict with, or constitute a breach of, any instrument or agreement binding on Enron or to which any such Customer-Specific Transaction Data is subject.</w:t>
      </w:r>
    </w:p>
    <w:p>
      <w:pPr>
        <w:pStyle w:val="VENumbered3"/>
        <w:numPr>
          <w:ilvl w:val="2"/>
          <w:numId w:val="7"/>
        </w:numPr>
        <w:ind w:hanging="0" w:start="0"/>
        <w:rPr/>
      </w:pPr>
      <w:r>
        <w:rPr/>
        <w:t>To its knowledge, the use by Accenture of the SmartClient Software and the Customer-Specific Transaction Data in accordance with the terms of this Agreement does not and will not violate or infringe any Intellectual Property rights of any third party; provided, however, that this representation shall not be deemed to cover any Accenture Works.</w:t>
      </w:r>
    </w:p>
    <w:p>
      <w:pPr>
        <w:pStyle w:val="VENumbered3"/>
        <w:numPr>
          <w:ilvl w:val="2"/>
          <w:numId w:val="7"/>
        </w:numPr>
        <w:ind w:hanging="0" w:start="0"/>
        <w:rPr/>
      </w:pPr>
      <w:r>
        <w:rPr/>
        <w:t>Neither the Customer-Specific Transaction Data nor the Software contains nor will it contain, at the time of delivery to Accenture, any disability virus, self-help code, program dependency feature or other device or software routine (including any “back door,” “time bomb,” “Trojan horse,” “worm,” “drop dead device,” “virus”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Transaction Data or using the Software, other than devices or features for which Enron will provide to Accenture “keys” or other access codes that eliminate completely the effect of any such devices or features; provided, however, that this representation shall not be deemed to cover any components of Accenture Works.</w:t>
      </w:r>
    </w:p>
    <w:p>
      <w:pPr>
        <w:pStyle w:val="VENumbered3"/>
        <w:numPr>
          <w:ilvl w:val="2"/>
          <w:numId w:val="7"/>
        </w:numPr>
        <w:ind w:hanging="0" w:start="0"/>
        <w:rPr/>
      </w:pPr>
      <w:r>
        <w:rPr/>
        <w:t>The Readable Transaction Terms represents an accurate and complete account of the relevant transaction on the Enron Platform.</w:t>
      </w:r>
    </w:p>
    <w:p>
      <w:pPr>
        <w:pStyle w:val="VENumbered3"/>
        <w:numPr>
          <w:ilvl w:val="2"/>
          <w:numId w:val="7"/>
        </w:numPr>
        <w:ind w:hanging="0" w:start="0"/>
        <w:rPr/>
      </w:pPr>
      <w:r>
        <w:rPr/>
        <w:t>Other than contractual relationships between Enron and TrueQuote, Kiodex and Houston Street, no other relationship or arrangement exists whereby Enron Customers may access any Customer-Specific Transaction Data on a Real-Time Basis.</w:t>
      </w:r>
    </w:p>
    <w:p>
      <w:pPr>
        <w:pStyle w:val="VENumbered3"/>
        <w:numPr>
          <w:ilvl w:val="2"/>
          <w:numId w:val="7"/>
        </w:numPr>
        <w:ind w:hanging="0" w:start="0"/>
        <w:rPr/>
      </w:pPr>
      <w:r>
        <w:rPr/>
        <w:t>Enron has the legal authority to extend the rights granted to Accenture under the this Agreement, and in the case of the Transaction Data, upon each transmission of such Transaction Data from Enron to Accenture. Enron has not made and will not make any commitments or agreements to others inconsistent with or in derogation of such rights.  For each Qualified Customer contracting with Accenture for TSH Services, no contract between Enron and such Qualified Customer will prohibit use and redistribution of any of the Transaction Data as contemplated by this Agreement.</w:t>
      </w:r>
    </w:p>
    <w:p>
      <w:pPr>
        <w:pStyle w:val="VENumbered2"/>
        <w:numPr>
          <w:ilvl w:val="1"/>
          <w:numId w:val="7"/>
        </w:numPr>
        <w:ind w:hanging="0" w:start="0"/>
        <w:rPr/>
      </w:pPr>
      <w:bookmarkStart w:id="83" w:name="__RefHeading___Toc515639080"/>
      <w:bookmarkEnd w:id="83"/>
      <w:r>
        <w:rPr/>
        <w:t>Representations and Warranties of Accenture.</w:t>
      </w:r>
    </w:p>
    <w:p>
      <w:pPr>
        <w:pStyle w:val="VENumbered3"/>
        <w:numPr>
          <w:ilvl w:val="2"/>
          <w:numId w:val="7"/>
        </w:numPr>
        <w:ind w:hanging="0" w:start="0"/>
        <w:rPr/>
      </w:pPr>
      <w:r>
        <w:rPr/>
        <w:t>The execution and delivery of this Agreement by Accenture and the performance of this Agreement by Accenture does not and will not conflict with, or constitute a breach of, any instrument or agreement binding on Accenture.</w:t>
      </w:r>
    </w:p>
    <w:p>
      <w:pPr>
        <w:pStyle w:val="VEBodyTextFLI"/>
        <w:rPr>
          <w:b/>
          <w:bCs/>
        </w:rPr>
      </w:pPr>
      <w:r>
        <w:rPr>
          <w:b/>
          <w:bCs/>
        </w:rPr>
        <w:t>[others?]</w:t>
      </w:r>
    </w:p>
    <w:p>
      <w:pPr>
        <w:pStyle w:val="VENumbered1"/>
        <w:numPr>
          <w:ilvl w:val="0"/>
          <w:numId w:val="7"/>
        </w:numPr>
        <w:ind w:hanging="0" w:start="0"/>
        <w:rPr/>
      </w:pPr>
      <w:bookmarkStart w:id="84" w:name="__RefHeading___Toc515639081"/>
      <w:bookmarkEnd w:id="84"/>
      <w:r>
        <w:rPr/>
        <w:br/>
        <w:t>INDEMNIFICATION, REMEDIES AND LIABILITY</w:t>
      </w:r>
    </w:p>
    <w:p>
      <w:pPr>
        <w:pStyle w:val="VENumbered2"/>
        <w:numPr>
          <w:ilvl w:val="1"/>
          <w:numId w:val="7"/>
        </w:numPr>
        <w:ind w:hanging="0" w:start="0"/>
        <w:rPr/>
      </w:pPr>
      <w:bookmarkStart w:id="85" w:name="_Ref516046841"/>
      <w:bookmarkStart w:id="86" w:name="_Ref515695861"/>
      <w:bookmarkStart w:id="87" w:name="_Ref515695712"/>
      <w:bookmarkStart w:id="88" w:name="_Ref515695638"/>
      <w:bookmarkStart w:id="89" w:name="__RefHeading___Toc515639082"/>
      <w:r>
        <w:rPr/>
        <w:t>Infringement Indemnity.</w:t>
      </w:r>
      <w:bookmarkEnd w:id="85"/>
      <w:bookmarkEnd w:id="86"/>
      <w:bookmarkEnd w:id="87"/>
      <w:bookmarkEnd w:id="88"/>
      <w:bookmarkEnd w:id="89"/>
      <w:r>
        <w:rPr/>
        <w:t xml:space="preserve"> </w:t>
      </w:r>
    </w:p>
    <w:p>
      <w:pPr>
        <w:pStyle w:val="VENumbered3"/>
        <w:numPr>
          <w:ilvl w:val="2"/>
          <w:numId w:val="7"/>
        </w:numPr>
        <w:ind w:hanging="0" w:start="0"/>
        <w:rPr/>
      </w:pPr>
      <w:bookmarkStart w:id="90" w:name="_Ref515695521"/>
      <w:r>
        <w:rPr/>
        <w:t>Enron will indemnify, defend and hold harmless Accenture and its Affiliates and Customers, and their respective officers, directors, employees, agents, successors and assigns, from and against any and all claims, actions, damages, liabilities, costs and expenses (including reasonable attorney’s fees and expenses) (collectively “Losses”), arising from any claims, whether based in whole or in part in contract, tort, negligence, statute or otherwise, that any portion of the Transaction Data or the Software infringes or constitutes misappropriation or unlawful disclosure or use of, another Person’s Intellectual Property Rights (collectively, “Infringement Claims”).</w:t>
      </w:r>
      <w:bookmarkEnd w:id="90"/>
      <w:r>
        <w:rPr/>
        <w:t xml:space="preserve">  </w:t>
      </w:r>
    </w:p>
    <w:p>
      <w:pPr>
        <w:pStyle w:val="VENumbered3"/>
        <w:numPr>
          <w:ilvl w:val="2"/>
          <w:numId w:val="7"/>
        </w:numPr>
        <w:ind w:hanging="0" w:start="0"/>
        <w:rPr/>
      </w:pPr>
      <w:r>
        <w:rPr/>
        <w:t xml:space="preserve">Enron shall have no liability or obligation to Accenture, Accenture Affiliates or any other Person under paragraph (a) above to the extent the Infringement Claim is based upon (i) the use of the Transaction Data or the Software in connection or in combination with equipment, devices or software not contemplated by the applicable documentation or Enron instructions, (ii) the use of such Transaction Data or Software in a manner not contemplated by the applicable documentation furnished to Accenture, or (iii) modifications of such Transaction Data or Software by Accenture.  If any component of the Software is, or in Enron’s reasonable judgment likely to become, the subject of an Infringement Claim, Enron, at its expense, shall use reasonable efforts to procure for Accenture the right to continue using such component.  Without limiting the provisions of Section </w:t>
      </w:r>
      <w:r>
        <w:rPr/>
        <w:fldChar w:fldCharType="begin"/>
      </w:r>
      <w:r>
        <w:rPr/>
        <w:instrText xml:space="preserve"> REF _Ref515695521 \w \w \h </w:instrText>
      </w:r>
      <w:r>
        <w:rPr/>
        <w:fldChar w:fldCharType="separate"/>
      </w:r>
      <w:r>
        <w:rPr/>
        <w:t>(a)</w:t>
      </w:r>
      <w:r>
        <w:rPr/>
        <w:fldChar w:fldCharType="end"/>
      </w:r>
      <w:r>
        <w:rPr/>
        <w:t xml:space="preserve">, if continued use is not reasonably available in Enron’s reasonable and good faith judgment, Enron shall so notify Accenture, whereupon Accenture may terminate this Agreement pursuant to Section </w:t>
      </w:r>
      <w:r>
        <w:rPr/>
        <w:fldChar w:fldCharType="begin"/>
      </w:r>
      <w:r>
        <w:rPr/>
        <w:instrText xml:space="preserve"> REF _Ref515695580 \w \w \h </w:instrText>
      </w:r>
      <w:r>
        <w:rPr/>
        <w:fldChar w:fldCharType="separate"/>
      </w:r>
      <w:r>
        <w:rPr/>
        <w:t>7.3</w:t>
      </w:r>
      <w:r>
        <w:rPr/>
        <w:fldChar w:fldCharType="end"/>
      </w:r>
      <w:r>
        <w:rPr/>
        <w:t xml:space="preserve">. </w:t>
      </w:r>
    </w:p>
    <w:p>
      <w:pPr>
        <w:pStyle w:val="VENumbered3"/>
        <w:numPr>
          <w:ilvl w:val="2"/>
          <w:numId w:val="7"/>
        </w:numPr>
        <w:ind w:hanging="0" w:start="0"/>
        <w:rPr/>
      </w:pPr>
      <w:r>
        <w:rPr/>
        <w:t>NOTWITHSTANDING ANY PROVISIONS OF THIS AGREEMENT TO THE CONTRARY, THE FOREGOING REMEDIES CONSTITUTE THE PARTIES’ SOLE AND EXCLUSIVE REMEDIES AND EACH PARTY’S ENTIRE LIABILITY, WITH RESPECT TO INFRINGEMENT CLAIMS.</w:t>
      </w:r>
    </w:p>
    <w:p>
      <w:pPr>
        <w:pStyle w:val="VENumbered2"/>
        <w:numPr>
          <w:ilvl w:val="1"/>
          <w:numId w:val="7"/>
        </w:numPr>
        <w:ind w:hanging="0" w:start="0"/>
        <w:rPr/>
      </w:pPr>
      <w:bookmarkStart w:id="91" w:name="__RefHeading___Toc515639083"/>
      <w:bookmarkStart w:id="92" w:name="_Ref515695878"/>
      <w:bookmarkStart w:id="93" w:name="_Ref515695726"/>
      <w:bookmarkStart w:id="94" w:name="_Ref515695656"/>
      <w:bookmarkEnd w:id="91"/>
      <w:r>
        <w:rPr/>
        <w:t>General Indemnification.</w:t>
      </w:r>
      <w:bookmarkEnd w:id="92"/>
      <w:bookmarkEnd w:id="93"/>
      <w:bookmarkEnd w:id="94"/>
    </w:p>
    <w:p>
      <w:pPr>
        <w:pStyle w:val="VENumbered3"/>
        <w:numPr>
          <w:ilvl w:val="2"/>
          <w:numId w:val="7"/>
        </w:numPr>
        <w:ind w:hanging="0" w:start="0"/>
        <w:rPr/>
      </w:pPr>
      <w:bookmarkStart w:id="95" w:name="_Ref515858863"/>
      <w:r>
        <w:rPr/>
        <w:t>Accenture shall indemnify and defend Enron and its Affiliates, and their respective officers, directors, employees and agents (each, an “</w:t>
      </w:r>
      <w:r>
        <w:rPr>
          <w:rStyle w:val="VEUnderline"/>
        </w:rPr>
        <w:t>Enron Indemnitee</w:t>
      </w:r>
      <w:r>
        <w:rPr/>
        <w:t>”) from and against any third party claims arising from or connected with (a) the breach of any representation or warranty expressly made by Accenture hereunder, (b) the breach of any covenant or agreement made by Accenture hereunder, (c) the provision of the TSH Services, except for claims which arise directly and solely from or relate directly and solely to data errors verified as Enron data errors, and (d) any Accenture Works or other modification made by Accenture to the SmartClient Software; and Accenture shall pay any liabilities, damages and expenses (including reasonable attorneys’ fees) attributable to such claims; provided that Accenture will not be liable for any settlement by Enron without Accenture’s prior written consent, which consent shall not be unreasonably withheld or delayed.</w:t>
      </w:r>
      <w:bookmarkEnd w:id="95"/>
      <w:r>
        <w:rPr/>
        <w:t xml:space="preserve">  </w:t>
      </w:r>
    </w:p>
    <w:p>
      <w:pPr>
        <w:pStyle w:val="VENumbered3"/>
        <w:numPr>
          <w:ilvl w:val="2"/>
          <w:numId w:val="7"/>
        </w:numPr>
        <w:ind w:hanging="0" w:start="0"/>
        <w:rPr/>
      </w:pPr>
      <w:bookmarkStart w:id="96" w:name="_Ref515858845"/>
      <w:r>
        <w:rPr/>
        <w:t>Enron shall indemnify and defend Accenture and its Affiliates, and their respective officers, directors, employees and agents (each, a “</w:t>
      </w:r>
      <w:r>
        <w:rPr>
          <w:rStyle w:val="VEUnderline"/>
        </w:rPr>
        <w:t>Accenture Indemnitee</w:t>
      </w:r>
      <w:r>
        <w:rPr/>
        <w:t>”)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Accenture’s obligations under this Agreement or fall within Accenture’s indemnification obligations under this Agreement, and Enron shall pay any liabilities, damages and expenses (including reasonable attorneys’ fees) attributable to any such claims; provided that Enron will not be liable for any settlement by Accenture without Enron’s prior written consent, which consent shall not be unreasonably withheld or delayed.</w:t>
      </w:r>
      <w:bookmarkEnd w:id="96"/>
      <w:r>
        <w:rPr/>
        <w:t xml:space="preserve">  </w:t>
      </w:r>
    </w:p>
    <w:p>
      <w:pPr>
        <w:pStyle w:val="VENumbered2"/>
        <w:numPr>
          <w:ilvl w:val="1"/>
          <w:numId w:val="7"/>
        </w:numPr>
        <w:ind w:hanging="0" w:start="0"/>
        <w:rPr>
          <w:vanish/>
          <w:color w:val="0000FF"/>
        </w:rPr>
      </w:pPr>
      <w:bookmarkStart w:id="97" w:name="__RefHeading___Toc515639084"/>
      <w:bookmarkStart w:id="98" w:name="_Ref515695679"/>
      <w:bookmarkEnd w:id="97"/>
      <w:r>
        <w:rPr/>
        <w:t>Indemnity Procedures</w:t>
      </w:r>
      <w:bookmarkEnd w:id="98"/>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3"/>
        <w:numPr>
          <w:ilvl w:val="0"/>
          <w:numId w:val="0"/>
        </w:numPr>
        <w:ind w:hanging="0" w:start="0"/>
        <w:rPr>
          <w:b/>
          <w:bCs/>
        </w:rPr>
      </w:pPr>
      <w:r>
        <w:rPr>
          <w:b/>
          <w:bCs/>
        </w:rPr>
        <w:t>[Alternative procedure to consider:]</w:t>
      </w:r>
    </w:p>
    <w:p>
      <w:pPr>
        <w:pStyle w:val="VEBodyText2"/>
        <w:rPr/>
      </w:pPr>
      <w:r>
        <w:rPr/>
        <w:t>The following procedures shall apply with respect to indemnification for third party claims arising in connection with this Agreement:</w:t>
      </w:r>
    </w:p>
    <w:p>
      <w:pPr>
        <w:pStyle w:val="VENumbered3"/>
        <w:numPr>
          <w:ilvl w:val="2"/>
          <w:numId w:val="7"/>
        </w:numPr>
        <w:ind w:hanging="0" w:start="0"/>
        <w:rPr/>
      </w:pPr>
      <w:r>
        <w:rPr/>
        <w:t xml:space="preserve">Promptly after receipt by a Person entitled to indemnification hereunder (an “Indemnitee”) of written notice of the assertion or the commencement of any claim, demand, action, cause of action or other proceeding by a third party, whether by legal process or otherwise (a “Claim”), with respect to any matter within the scope of Section </w:t>
      </w:r>
      <w:r>
        <w:rPr/>
        <w:fldChar w:fldCharType="begin"/>
      </w:r>
      <w:r>
        <w:rPr/>
        <w:instrText xml:space="preserve"> REF _Ref515695638 \w \w \h </w:instrText>
      </w:r>
      <w:r>
        <w:rPr/>
        <w:fldChar w:fldCharType="separate"/>
      </w:r>
      <w:r>
        <w:rPr/>
        <w:t>9.1</w:t>
      </w:r>
      <w:r>
        <w:rPr/>
        <w:fldChar w:fldCharType="end"/>
      </w:r>
      <w:r>
        <w:rPr/>
        <w:t xml:space="preserve"> or </w:t>
      </w:r>
      <w:r>
        <w:rPr/>
        <w:fldChar w:fldCharType="begin"/>
      </w:r>
      <w:r>
        <w:rPr/>
        <w:instrText xml:space="preserve"> REF _Ref515695656 \w \w \h </w:instrText>
      </w:r>
      <w:r>
        <w:rPr/>
        <w:fldChar w:fldCharType="separate"/>
      </w:r>
      <w:r>
        <w:rPr/>
        <w:t>9.2</w:t>
      </w:r>
      <w:r>
        <w:rPr/>
        <w:fldChar w:fldCharType="end"/>
      </w:r>
      <w:r>
        <w:rPr/>
        <w:t xml:space="preserve">, the Indemnitee shall give written notice thereof (the “Notice”) to the party from whom indemnification is sought pursuant hereto (the “Indemnitor”) and shall thereafter keep the Indemnitor reasonably informed with respect thereto; provided, however,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w:t>
      </w:r>
      <w:r>
        <w:rPr/>
        <w:fldChar w:fldCharType="begin"/>
      </w:r>
      <w:r>
        <w:rPr/>
        <w:instrText xml:space="preserve"> REF _Ref515695679 \w \w \h </w:instrText>
      </w:r>
      <w:r>
        <w:rPr/>
        <w:fldChar w:fldCharType="separate"/>
      </w:r>
      <w:r>
        <w:rPr/>
        <w:t>9.3</w:t>
      </w:r>
      <w:r>
        <w:rPr/>
        <w:fldChar w:fldCharType="end"/>
      </w:r>
      <w:r>
        <w:rPr/>
        <w:t>, the Indemnitee shall be permitted to join in the defense of such Claim and to employ counsel at its own expense.</w:t>
      </w:r>
    </w:p>
    <w:p>
      <w:pPr>
        <w:pStyle w:val="VENumbered3"/>
        <w:numPr>
          <w:ilvl w:val="2"/>
          <w:numId w:val="7"/>
        </w:numPr>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provided that it shall not settle any Claim that would give rise to the Indemnitor’s liability under Section </w:t>
      </w:r>
      <w:r>
        <w:rPr/>
        <w:fldChar w:fldCharType="begin"/>
      </w:r>
      <w:r>
        <w:rPr/>
        <w:instrText xml:space="preserve"> REF _Ref515695712 \w \w \h </w:instrText>
      </w:r>
      <w:r>
        <w:rPr/>
        <w:fldChar w:fldCharType="separate"/>
      </w:r>
      <w:r>
        <w:rPr/>
        <w:t>9.1</w:t>
      </w:r>
      <w:r>
        <w:rPr/>
        <w:fldChar w:fldCharType="end"/>
      </w:r>
      <w:r>
        <w:rPr/>
        <w:t xml:space="preserve"> or </w:t>
      </w:r>
      <w:r>
        <w:rPr/>
        <w:fldChar w:fldCharType="begin"/>
      </w:r>
      <w:r>
        <w:rPr/>
        <w:instrText xml:space="preserve"> REF _Ref515695726 \w \w \h </w:instrText>
      </w:r>
      <w:r>
        <w:rPr/>
        <w:fldChar w:fldCharType="separate"/>
      </w:r>
      <w:r>
        <w:rPr/>
        <w:t>9.2</w:t>
      </w:r>
      <w:r>
        <w:rPr/>
        <w:fldChar w:fldCharType="end"/>
      </w:r>
      <w:r>
        <w:rPr/>
        <w:t xml:space="preserve"> without the Indemnitor’s prior written consent (which shall not be unreasonably withheld or delayed).  The Indemnitor shall be permitted to join in the defense of such Claim and to employ counsel at its own expense.</w:t>
      </w:r>
    </w:p>
    <w:p>
      <w:pPr>
        <w:pStyle w:val="VENumbered3"/>
        <w:numPr>
          <w:ilvl w:val="2"/>
          <w:numId w:val="7"/>
        </w:numPr>
        <w:ind w:hanging="0" w:start="0"/>
        <w:rPr/>
      </w:pPr>
      <w:r>
        <w:rPr/>
        <w:t>The Indemnitee shall provide reasonable assistance to the Indemnitor (at the Indemnitor’s expense), including reasonable assistance from the Indemnitor’s employees, agents, independent contractors and Affiliates, as applicable.</w:t>
      </w:r>
    </w:p>
    <w:p>
      <w:pPr>
        <w:pStyle w:val="VENumbered2"/>
        <w:numPr>
          <w:ilvl w:val="1"/>
          <w:numId w:val="7"/>
        </w:numPr>
        <w:ind w:hanging="0" w:start="0"/>
        <w:rPr/>
      </w:pPr>
      <w:bookmarkStart w:id="99" w:name="__RefHeading___Toc515639085"/>
      <w:r>
        <w:rPr/>
        <w:t>Limitation of Liability.</w:t>
      </w:r>
      <w:bookmarkEnd w:id="99"/>
      <w:r>
        <w:rPr/>
        <w:t xml:space="preserve">  </w:t>
      </w:r>
    </w:p>
    <w:p>
      <w:pPr>
        <w:pStyle w:val="VENumbered3"/>
        <w:numPr>
          <w:ilvl w:val="2"/>
          <w:numId w:val="7"/>
        </w:numPr>
        <w:ind w:hanging="0" w:start="0"/>
        <w:rPr/>
      </w:pPr>
      <w:bookmarkStart w:id="100" w:name="_Ref515638501"/>
      <w:r>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$__ MILLION.  The dollar limit described in this Section </w:t>
      </w:r>
      <w:r>
        <w:rPr/>
        <w:fldChar w:fldCharType="begin"/>
      </w:r>
      <w:r>
        <w:rPr/>
        <w:instrText xml:space="preserve"> REF _Ref515638501 \w \w \h </w:instrText>
      </w:r>
      <w:r>
        <w:rPr/>
        <w:fldChar w:fldCharType="separate"/>
      </w:r>
      <w:r>
        <w:rPr/>
        <w:t>(a)</w:t>
      </w:r>
      <w:r>
        <w:rPr/>
        <w:fldChar w:fldCharType="end"/>
      </w:r>
      <w:r>
        <w:rPr/>
        <w:t xml:space="preserve"> shall not apply to the liability of Accenture to the extent such liability results from Accenture’s breach of its payment obligations pursuant to Section </w:t>
      </w:r>
      <w:bookmarkEnd w:id="100"/>
      <w:r>
        <w:rPr/>
        <w:fldChar w:fldCharType="begin"/>
      </w:r>
      <w:r>
        <w:rPr/>
        <w:instrText xml:space="preserve"> REF _Ref515638519 \w \w \h </w:instrText>
      </w:r>
      <w:r>
        <w:rPr/>
        <w:fldChar w:fldCharType="separate"/>
      </w:r>
      <w:r>
        <w:rPr/>
        <w:t>5.1</w:t>
      </w:r>
      <w:r>
        <w:rPr/>
        <w:fldChar w:fldCharType="end"/>
      </w:r>
      <w:r>
        <w:rPr/>
        <w:t xml:space="preserve"> and </w:t>
      </w:r>
      <w:r>
        <w:rPr/>
        <w:fldChar w:fldCharType="begin"/>
      </w:r>
      <w:r>
        <w:rPr/>
        <w:instrText xml:space="preserve"> REF _Ref515858863 \w \w \h </w:instrText>
      </w:r>
      <w:r>
        <w:rPr/>
        <w:fldChar w:fldCharType="separate"/>
      </w:r>
      <w:r>
        <w:rPr/>
        <w:t>(a)</w:t>
      </w:r>
      <w:r>
        <w:rPr/>
        <w:fldChar w:fldCharType="end"/>
      </w:r>
      <w:r>
        <w:rPr/>
        <w:t xml:space="preserve">. </w:t>
      </w:r>
      <w:r>
        <w:rPr>
          <w:b/>
          <w:bCs/>
        </w:rPr>
        <w:t>[Discuss.]</w:t>
      </w:r>
    </w:p>
    <w:p>
      <w:pPr>
        <w:pStyle w:val="VENumbered3"/>
        <w:numPr>
          <w:ilvl w:val="2"/>
          <w:numId w:val="7"/>
        </w:numPr>
        <w:ind w:hanging="0" w:start="0"/>
        <w:rPr/>
      </w:pPr>
      <w:bookmarkStart w:id="101" w:name="_Ref515638547"/>
      <w:r>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$____ MILLION.  The dollar limit described in this Section </w:t>
      </w:r>
      <w:r>
        <w:rPr/>
        <w:fldChar w:fldCharType="begin"/>
      </w:r>
      <w:r>
        <w:rPr/>
        <w:instrText xml:space="preserve"> REF _Ref515638547 \w \w \h </w:instrText>
      </w:r>
      <w:r>
        <w:rPr/>
        <w:fldChar w:fldCharType="separate"/>
      </w:r>
      <w:r>
        <w:rPr/>
        <w:t>(b)</w:t>
      </w:r>
      <w:r>
        <w:rPr/>
        <w:fldChar w:fldCharType="end"/>
      </w:r>
      <w:r>
        <w:rPr/>
        <w:t xml:space="preserve"> shall not apply to the liability of Enron to the extent such liability results from Enron’s breach of its (i) payment obligations pursuant to Section </w:t>
      </w:r>
      <w:r>
        <w:rPr/>
        <w:fldChar w:fldCharType="begin"/>
      </w:r>
      <w:r>
        <w:rPr/>
        <w:instrText xml:space="preserve"> REF _Ref515634554 \w \w \h </w:instrText>
      </w:r>
      <w:r>
        <w:rPr/>
        <w:fldChar w:fldCharType="separate"/>
      </w:r>
      <w:r>
        <w:rPr/>
        <w:t>ARTICLE IV(i)</w:t>
      </w:r>
      <w:r>
        <w:rPr/>
        <w:fldChar w:fldCharType="end"/>
      </w:r>
      <w:r>
        <w:rPr/>
        <w:t>, or (ii) obligations under Section</w:t>
      </w:r>
      <w:bookmarkEnd w:id="101"/>
      <w:r>
        <w:rPr/>
        <w:t xml:space="preserve">s </w:t>
      </w:r>
      <w:r>
        <w:rPr/>
        <w:fldChar w:fldCharType="begin"/>
      </w:r>
      <w:r>
        <w:rPr/>
        <w:instrText xml:space="preserve"> REF _Ref516046841 \w \w \h </w:instrText>
      </w:r>
      <w:r>
        <w:rPr/>
        <w:fldChar w:fldCharType="separate"/>
      </w:r>
      <w:r>
        <w:rPr/>
        <w:t>9.1</w:t>
      </w:r>
      <w:r>
        <w:rPr/>
        <w:fldChar w:fldCharType="end"/>
      </w:r>
      <w:r>
        <w:rPr/>
        <w:t xml:space="preserve"> or </w:t>
      </w:r>
      <w:r>
        <w:rPr/>
        <w:fldChar w:fldCharType="begin"/>
      </w:r>
      <w:r>
        <w:rPr/>
        <w:instrText xml:space="preserve"> REF _Ref515858845 \w \w \h </w:instrText>
      </w:r>
      <w:r>
        <w:rPr/>
        <w:fldChar w:fldCharType="separate"/>
      </w:r>
      <w:r>
        <w:rPr/>
        <w:t>(b)</w:t>
      </w:r>
      <w:r>
        <w:rPr/>
        <w:fldChar w:fldCharType="end"/>
      </w:r>
      <w:r>
        <w:rPr/>
        <w:t xml:space="preserve">.  </w:t>
      </w:r>
      <w:r>
        <w:rPr>
          <w:b/>
          <w:bCs/>
        </w:rPr>
        <w:t>[Discuss.]</w:t>
      </w:r>
    </w:p>
    <w:p>
      <w:pPr>
        <w:pStyle w:val="VENumbered2"/>
        <w:numPr>
          <w:ilvl w:val="1"/>
          <w:numId w:val="7"/>
        </w:numPr>
        <w:ind w:hanging="0" w:start="0"/>
        <w:rPr>
          <w:vanish/>
          <w:color w:val="0000FF"/>
        </w:rPr>
      </w:pPr>
      <w:bookmarkStart w:id="102" w:name="__RefHeading___Toc515639086"/>
      <w:bookmarkEnd w:id="102"/>
      <w:r>
        <w:rPr/>
        <w:t>Exclusion of Certain Damages</w:t>
      </w:r>
    </w:p>
    <w:p>
      <w:pPr>
        <w:pStyle w:val="VEBodyText2"/>
        <w:rPr/>
      </w:pPr>
      <w:r>
        <w:rPr/>
        <w:t xml:space="preserve">.  EXCEPT IN THE CASE OF ACTIONS BROUGHT PURSUANT TO BREACHES OF (I) OBLIGATIONS OWED BY EITHER PARTY UNDER SECTION </w:t>
      </w:r>
      <w:r>
        <w:rPr/>
        <w:fldChar w:fldCharType="begin"/>
      </w:r>
      <w:r>
        <w:rPr/>
        <w:instrText xml:space="preserve"> REF _Ref515695861 \w \w \h </w:instrText>
      </w:r>
      <w:r>
        <w:rPr/>
        <w:fldChar w:fldCharType="separate"/>
      </w:r>
      <w:r>
        <w:rPr/>
        <w:t>9.1</w:t>
      </w:r>
      <w:r>
        <w:rPr/>
        <w:fldChar w:fldCharType="end"/>
      </w:r>
      <w:r>
        <w:rPr/>
        <w:t xml:space="preserve"> OR </w:t>
      </w:r>
      <w:r>
        <w:rPr/>
        <w:fldChar w:fldCharType="begin"/>
      </w:r>
      <w:r>
        <w:rPr/>
        <w:instrText xml:space="preserve"> REF _Ref515695878 \w \w \h </w:instrText>
      </w:r>
      <w:r>
        <w:rPr/>
        <w:fldChar w:fldCharType="separate"/>
      </w:r>
      <w:r>
        <w:rPr/>
        <w:t>9.2</w:t>
      </w:r>
      <w:r>
        <w:rPr/>
        <w:fldChar w:fldCharType="end"/>
      </w:r>
      <w:r>
        <w:rPr/>
        <w:t xml:space="preserve"> OR (II) WARRANTIES UNDER SECTIONS </w:t>
      </w:r>
      <w:r>
        <w:rPr/>
        <w:fldChar w:fldCharType="begin"/>
      </w:r>
      <w:r>
        <w:rPr/>
        <w:instrText xml:space="preserve"> REF _Ref515695966 \w \w \h </w:instrText>
      </w:r>
      <w:r>
        <w:rPr/>
        <w:fldChar w:fldCharType="separate"/>
      </w:r>
      <w:r>
        <w:rPr/>
        <w:t>8.1</w:t>
      </w:r>
      <w:r>
        <w:rPr/>
        <w:fldChar w:fldCharType="end"/>
      </w:r>
      <w:r>
        <w:rPr/>
        <w:t xml:space="preserve">(A), (D) (E) OR (G) </w:t>
      </w:r>
      <w:r>
        <w:rPr>
          <w:b/>
          <w:bCs/>
        </w:rPr>
        <w:t>[DISCUSS],</w:t>
      </w:r>
      <w:r>
        <w:rPr/>
        <w:t xml:space="preserve">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VENumbered2"/>
        <w:numPr>
          <w:ilvl w:val="1"/>
          <w:numId w:val="7"/>
        </w:numPr>
        <w:ind w:hanging="0" w:start="0"/>
        <w:rPr>
          <w:vanish/>
          <w:color w:val="0000FF"/>
        </w:rPr>
      </w:pPr>
      <w:bookmarkStart w:id="103" w:name="__RefHeading___Toc515639087"/>
      <w:bookmarkEnd w:id="103"/>
      <w:r>
        <w:rPr/>
        <w:t>Recourse</w:t>
      </w:r>
    </w:p>
    <w:p>
      <w:pPr>
        <w:pStyle w:val="VEBodyText2"/>
        <w:rPr/>
      </w:pPr>
      <w:r>
        <w:rPr/>
        <w:t>.  With regard to any claim against Accenture, Enron shall look solely to Accenture and the assets of Accenture in satisfaction of any claim relating to Accenture’s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VENumbered2"/>
        <w:numPr>
          <w:ilvl w:val="1"/>
          <w:numId w:val="7"/>
        </w:numPr>
        <w:ind w:hanging="0" w:start="0"/>
        <w:rPr>
          <w:vanish/>
          <w:color w:val="0000FF"/>
        </w:rPr>
      </w:pPr>
      <w:bookmarkStart w:id="104" w:name="__RefHeading___Toc515639088"/>
      <w:bookmarkEnd w:id="104"/>
      <w:r>
        <w:rPr/>
        <w:t>Acknowledgments and Applicability of Limitations</w:t>
      </w:r>
    </w:p>
    <w:p>
      <w:pPr>
        <w:pStyle w:val="VEBodyText2"/>
        <w:rPr/>
      </w:pPr>
      <w:r>
        <w:rPr/>
        <w:t>.  Each Party acknowledges that the provisions of this Article IX set forth the bargained-for allocation of risk under this Agreement.  The limitations and exclusions contained in this Article IX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VENumbered2"/>
        <w:numPr>
          <w:ilvl w:val="1"/>
          <w:numId w:val="7"/>
        </w:numPr>
        <w:ind w:hanging="0" w:start="0"/>
        <w:rPr/>
      </w:pPr>
      <w:bookmarkStart w:id="105" w:name="__RefHeading___Toc515639089"/>
      <w:bookmarkStart w:id="106" w:name="_Ref515696133"/>
      <w:bookmarkEnd w:id="105"/>
      <w:r>
        <w:rPr/>
        <w:t>Offset Right.</w:t>
      </w:r>
      <w:bookmarkEnd w:id="106"/>
    </w:p>
    <w:p>
      <w:pPr>
        <w:pStyle w:val="VENumbered3"/>
        <w:numPr>
          <w:ilvl w:val="2"/>
          <w:numId w:val="7"/>
        </w:numPr>
        <w:ind w:hanging="0" w:start="0"/>
        <w:rPr/>
      </w:pPr>
      <w:bookmarkStart w:id="107" w:name="_Ref515696059"/>
      <w:r>
        <w:rPr/>
        <w:t xml:space="preserve">In addition to any other remedy each Party may have under this Agreement, each Party shall have the right to offset against any amounts required to be paid to the other Party pursuant to this Agreement and any actual damages and reasonable attorneys’ fees and expenses that each Party actually incurs as a result of a material breach by the other Party under this Agreement.  No later than ten days prior to any such offsetting, the Party claiming an offset right shall provide written notice of its intent to offset (the “Offset Notice”) to the other Party setting forth the amount of such delinquent payments by the other Party (the “Offset Amount”) and describing, in reasonable detail, the relevant invoices or information related to such delinquent payments.  If the other Party has not paid or caused to be paid such delinquent payments within ten days after its receipt of an Offset Notice, then (i) in its next payment to the other Party under this Agreement, the Party claiming the right of offset may offset (on a dollar-for-dollar basis) against amounts due by it hereunder the amount of such delinquent payment that was set forth in such Offset Notice, and shall reflect such offset as a credit for amounts owed by it in the accompanying payment voucher and (ii) the amount of such offset shall be treated as being paid for purposes of determining if the Party claiming the offset right has satisfied its payment obligations for the particular Contract Year.  The rights of offset granted in this Section </w:t>
      </w:r>
      <w:r>
        <w:rPr/>
        <w:fldChar w:fldCharType="begin"/>
      </w:r>
      <w:r>
        <w:rPr/>
        <w:instrText xml:space="preserve"> REF _Ref515696059 \w \w \h </w:instrText>
      </w:r>
      <w:r>
        <w:rPr/>
        <w:fldChar w:fldCharType="separate"/>
      </w:r>
      <w:r>
        <w:rPr/>
        <w:t>(a)</w:t>
      </w:r>
      <w:r>
        <w:rPr/>
        <w:fldChar w:fldCharType="end"/>
      </w:r>
      <w:r>
        <w:rPr/>
        <w:t xml:space="preserve"> shall in no way limit the rights or any other remedies of the Party claiming the right of offset pursuant to this Agreement.</w:t>
      </w:r>
      <w:bookmarkEnd w:id="107"/>
    </w:p>
    <w:p>
      <w:pPr>
        <w:pStyle w:val="VENumbered3"/>
        <w:numPr>
          <w:ilvl w:val="2"/>
          <w:numId w:val="7"/>
        </w:numPr>
        <w:ind w:hanging="0" w:start="0"/>
        <w:rPr/>
      </w:pPr>
      <w:r>
        <w:rPr/>
        <w:t xml:space="preserve">Either Party may dispute any Offset Amount if, and only if, it delivers to the Party claiming the offset right a reservation of rights or a written notice setting forth in reasonable detail the amount and nature of each disputed matter (each such notice being hereinafter referred to as a “Response Notice”) within 15 days after receiving the Offset Notice relating thereto.  If a Party delivers such a reservation of rights notice with respect to an Offset Amount, it must notify the other Party of any disputed matter relating to such Offset Amount within one year after its receipt of the Offset Notice.  The Parties shall attempt in good faith to resolve any dispute as to any matter set forth in a Response Notice as provided in Section </w:t>
      </w:r>
      <w:r>
        <w:rPr/>
        <w:fldChar w:fldCharType="begin"/>
      </w:r>
      <w:r>
        <w:rPr/>
        <w:instrText xml:space="preserve"> REF _Ref515696112 \w \w \h </w:instrText>
      </w:r>
      <w:r>
        <w:rPr/>
        <w:fldChar w:fldCharType="separate"/>
      </w:r>
      <w:r>
        <w:rPr/>
        <w:t>10.13</w:t>
      </w:r>
      <w:r>
        <w:rPr/>
        <w:fldChar w:fldCharType="end"/>
      </w:r>
      <w:r>
        <w:rPr/>
        <w:t xml:space="preserve">.  The Party claiming the offset right will deposit into an escrow account any disputed Offset Amounts if the aggregate amount of all Offset Amounts then under dispute pursuant to this Section </w:t>
      </w:r>
      <w:r>
        <w:rPr/>
        <w:fldChar w:fldCharType="begin"/>
      </w:r>
      <w:r>
        <w:rPr/>
        <w:instrText xml:space="preserve"> REF _Ref515696133 \w \w \h </w:instrText>
      </w:r>
      <w:r>
        <w:rPr/>
        <w:fldChar w:fldCharType="separate"/>
      </w:r>
      <w:r>
        <w:rPr/>
        <w:t>9.8</w:t>
      </w:r>
      <w:r>
        <w:rPr/>
        <w:fldChar w:fldCharType="end"/>
      </w:r>
      <w:r>
        <w:rPr/>
        <w:t xml:space="preserve"> exceeds $1,000,000.  Such escrow account will be established by the Party claiming the offset right, at that Party’s expense, at a major national bank.  The escrow account will be and will remain the property of the Party claiming the offset right subject to resolution of the dispute pursuant to Section </w:t>
      </w:r>
      <w:r>
        <w:rPr/>
        <w:fldChar w:fldCharType="begin"/>
      </w:r>
      <w:r>
        <w:rPr/>
        <w:instrText xml:space="preserve"> REF _Ref515696150 \w \w \h </w:instrText>
      </w:r>
      <w:r>
        <w:rPr/>
        <w:fldChar w:fldCharType="separate"/>
      </w:r>
      <w:r>
        <w:rPr/>
        <w:t>10.13</w:t>
      </w:r>
      <w:r>
        <w:rPr/>
        <w:fldChar w:fldCharType="end"/>
      </w:r>
      <w:r>
        <w:rPr/>
        <w:t xml:space="preserve">.  The escrow account will be established pursuant to an escrow agreement that provides that the funds therein, including accrued interest, will be disbursed to Enron or Accenture, as applicable, in accordance with the resolution of the dispute pursuant to Section </w:t>
      </w:r>
      <w:r>
        <w:rPr/>
        <w:fldChar w:fldCharType="begin"/>
      </w:r>
      <w:r>
        <w:rPr/>
        <w:instrText xml:space="preserve"> REF _Ref515696170 \w \w \h </w:instrText>
      </w:r>
      <w:r>
        <w:rPr/>
        <w:fldChar w:fldCharType="separate"/>
      </w:r>
      <w:r>
        <w:rPr/>
        <w:t>10.13</w:t>
      </w:r>
      <w:r>
        <w:rPr/>
        <w:fldChar w:fldCharType="end"/>
      </w:r>
      <w:r>
        <w:rPr/>
        <w:t xml:space="preserve"> or by mutual agreement of the Parties.</w:t>
      </w:r>
    </w:p>
    <w:p>
      <w:pPr>
        <w:pStyle w:val="VENumbered3"/>
        <w:numPr>
          <w:ilvl w:val="2"/>
          <w:numId w:val="7"/>
        </w:numPr>
        <w:ind w:hanging="0" w:start="0"/>
        <w:rPr/>
      </w:pPr>
      <w:r>
        <w:rPr/>
        <w:t xml:space="preserve">The exercise in good faith by either Party of such right of offset shall not in any case be construed as a breach of, or a default under this Agreement.  </w:t>
      </w:r>
    </w:p>
    <w:p>
      <w:pPr>
        <w:pStyle w:val="VENumbered1"/>
        <w:numPr>
          <w:ilvl w:val="0"/>
          <w:numId w:val="7"/>
        </w:numPr>
        <w:ind w:hanging="0" w:start="0"/>
        <w:rPr/>
      </w:pPr>
      <w:bookmarkStart w:id="108" w:name="__RefHeading___Toc515639090"/>
      <w:bookmarkEnd w:id="108"/>
      <w:r>
        <w:rPr/>
        <w:br/>
        <w:t>OTHER PROVISIONS</w:t>
      </w:r>
    </w:p>
    <w:p>
      <w:pPr>
        <w:pStyle w:val="VENumbered2"/>
        <w:numPr>
          <w:ilvl w:val="1"/>
          <w:numId w:val="7"/>
        </w:numPr>
        <w:ind w:hanging="0" w:start="0"/>
        <w:rPr>
          <w:vanish/>
          <w:color w:val="0000FF"/>
        </w:rPr>
      </w:pPr>
      <w:bookmarkStart w:id="109" w:name="__RefHeading___Toc515639091"/>
      <w:bookmarkStart w:id="110" w:name="_Ref515695447"/>
      <w:bookmarkEnd w:id="109"/>
      <w:r>
        <w:rPr/>
        <w:t>Worldwide Licenses</w:t>
      </w:r>
      <w:bookmarkEnd w:id="110"/>
    </w:p>
    <w:p>
      <w:pPr>
        <w:pStyle w:val="VEBodyText2"/>
        <w:rPr/>
      </w:pPr>
      <w:r>
        <w:rPr/>
        <w:t xml:space="preserve">.  While Enron has granted Accenture the right to use the </w:t>
      </w:r>
      <w:r>
        <w:rPr>
          <w:b/>
          <w:color w:val="FF6600"/>
        </w:rPr>
        <w:t>Customer-Specific Transaction Data</w:t>
      </w:r>
      <w:r>
        <w:rPr/>
        <w:t xml:space="preserve"> and the SmartClient Software on a worldwide basis, Enron does not warrant or represent that it has or will obtain all of the necessary consents from, nor that it has made or will make all notices and filings with, any governmental agencies and other Persons necessary to authorize, approve or permit the use of the </w:t>
      </w:r>
      <w:r>
        <w:rPr>
          <w:b/>
          <w:color w:val="FF6600"/>
        </w:rPr>
        <w:t>Customer-Specific Transaction Data</w:t>
      </w:r>
      <w:r>
        <w:rPr/>
        <w:t xml:space="preserve"> and/or the SmartClient Software in each jurisdiction that Accenture wish to offer TSH Services.  Accenture is solely responsible for obtaining any such consents and making any such notices and files, but Enron shall use its commercially reasonable efforts to take any actions and do such things as may be reasonably requested by Accenture, at Accenture’s expense.</w:t>
      </w:r>
    </w:p>
    <w:p>
      <w:pPr>
        <w:pStyle w:val="VENumbered2"/>
        <w:numPr>
          <w:ilvl w:val="1"/>
          <w:numId w:val="7"/>
        </w:numPr>
        <w:ind w:hanging="0" w:start="0"/>
        <w:rPr>
          <w:vanish/>
          <w:color w:val="0000FF"/>
        </w:rPr>
      </w:pPr>
      <w:bookmarkStart w:id="111" w:name="__RefHeading___Toc515639092"/>
      <w:bookmarkEnd w:id="111"/>
      <w:r>
        <w:rPr/>
        <w:t>Expenses of the Parties</w:t>
      </w:r>
    </w:p>
    <w:p>
      <w:pPr>
        <w:pStyle w:val="VEBodyText2"/>
        <w:rPr/>
      </w:pPr>
      <w:r>
        <w:rPr/>
        <w:t>.  Except as otherwise provided in this Agreement, each Party shall bear its own costs and expenses incurred in connection with negotiating, preparing and performing this Agreement.</w:t>
      </w:r>
    </w:p>
    <w:p>
      <w:pPr>
        <w:pStyle w:val="VENumbered2"/>
        <w:numPr>
          <w:ilvl w:val="1"/>
          <w:numId w:val="7"/>
        </w:numPr>
        <w:ind w:hanging="0" w:start="0"/>
        <w:rPr>
          <w:vanish/>
          <w:color w:val="0000FF"/>
        </w:rPr>
      </w:pPr>
      <w:bookmarkStart w:id="112" w:name="__RefHeading___Toc515639093"/>
      <w:bookmarkEnd w:id="112"/>
      <w:r>
        <w:rPr/>
        <w:t>Relationship of the Parties</w:t>
      </w:r>
    </w:p>
    <w:p>
      <w:pPr>
        <w:pStyle w:val="VEBodyText2"/>
        <w:rPr/>
      </w:pP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VENumbered2"/>
        <w:numPr>
          <w:ilvl w:val="1"/>
          <w:numId w:val="7"/>
        </w:numPr>
        <w:ind w:hanging="0" w:start="0"/>
        <w:rPr>
          <w:vanish/>
          <w:color w:val="0000FF"/>
        </w:rPr>
      </w:pPr>
      <w:bookmarkStart w:id="113" w:name="__RefHeading___Toc515639094"/>
      <w:bookmarkEnd w:id="113"/>
      <w:r>
        <w:rPr/>
        <w:t>No Third Party Beneficiaries</w:t>
      </w:r>
    </w:p>
    <w:p>
      <w:pPr>
        <w:pStyle w:val="VEBodyText2"/>
        <w:rPr/>
      </w:pP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VENumbered2"/>
        <w:numPr>
          <w:ilvl w:val="1"/>
          <w:numId w:val="7"/>
        </w:numPr>
        <w:ind w:hanging="0" w:start="0"/>
        <w:rPr>
          <w:vanish/>
          <w:color w:val="0000FF"/>
        </w:rPr>
      </w:pPr>
      <w:bookmarkStart w:id="114" w:name="__RefHeading___Toc515639095"/>
      <w:bookmarkEnd w:id="114"/>
      <w:r>
        <w:rPr/>
        <w:t>Cooperation; Consents</w:t>
      </w:r>
    </w:p>
    <w:p>
      <w:pPr>
        <w:pStyle w:val="VEBodyText2"/>
        <w:rPr/>
      </w:pP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the provision of the Services under this Agreement may be accomplished in a proper, timely and efficient manner.  Where agreement, approval, acceptance or consent of either Party is required by any provision of this Agreement, such action will not be unreasonably delayed or withheld.</w:t>
      </w:r>
    </w:p>
    <w:p>
      <w:pPr>
        <w:pStyle w:val="VENumbered2"/>
        <w:numPr>
          <w:ilvl w:val="1"/>
          <w:numId w:val="7"/>
        </w:numPr>
        <w:ind w:hanging="0" w:start="0"/>
        <w:rPr>
          <w:vanish/>
          <w:color w:val="0000FF"/>
        </w:rPr>
      </w:pPr>
      <w:bookmarkStart w:id="115" w:name="__RefHeading___Toc515639096"/>
      <w:bookmarkStart w:id="116" w:name="_Ref515696522"/>
      <w:bookmarkEnd w:id="115"/>
      <w:r>
        <w:rPr/>
        <w:t>Notice</w:t>
      </w:r>
      <w:bookmarkEnd w:id="116"/>
    </w:p>
    <w:p>
      <w:pPr>
        <w:pStyle w:val="VEBodyText2"/>
        <w:rPr/>
      </w:pP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VEBodyTextFLI"/>
        <w:rPr/>
      </w:pPr>
      <w:r>
        <w:rPr/>
        <w:t xml:space="preserve">In the case of Enron: </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FLI"/>
        <w:rPr/>
      </w:pPr>
      <w:r>
        <w:rPr/>
        <w:t>In the case of Accenture:</w:t>
      </w:r>
    </w:p>
    <w:p>
      <w:pPr>
        <w:pStyle w:val="VEBodyText"/>
        <w:ind w:start="2160" w:end="0"/>
        <w:rPr/>
      </w:pPr>
      <w:r>
        <w:rPr/>
        <w:t>Accenture LLP</w:t>
      </w:r>
    </w:p>
    <w:p>
      <w:pPr>
        <w:pStyle w:val="VEBodyText"/>
        <w:ind w:start="2160" w:end="0"/>
        <w:rPr/>
      </w:pPr>
      <w:r>
        <w:rPr/>
      </w:r>
    </w:p>
    <w:p>
      <w:pPr>
        <w:pStyle w:val="VEBodyText"/>
        <w:ind w:start="2160" w:end="0"/>
        <w:rPr/>
      </w:pPr>
      <w:r>
        <w:rPr/>
      </w:r>
    </w:p>
    <w:p>
      <w:pPr>
        <w:pStyle w:val="VEBodyTextNoSpace"/>
        <w:ind w:start="2160" w:end="0"/>
        <w:rPr/>
      </w:pPr>
      <w:r>
        <w:rPr/>
        <w:t>Attention:</w:t>
        <w:tab/>
        <w:tab/>
        <w:tab/>
        <w:tab/>
      </w:r>
    </w:p>
    <w:p>
      <w:pPr>
        <w:pStyle w:val="VEBodyText"/>
        <w:ind w:start="2160" w:end="0"/>
        <w:rPr/>
      </w:pPr>
      <w:r>
        <w:rPr/>
        <w:t>Facsimile Number:</w:t>
        <w:tab/>
        <w:tab/>
        <w:tab/>
      </w:r>
    </w:p>
    <w:p>
      <w:pPr>
        <w:pStyle w:val="VEBodyText"/>
        <w:ind w:start="2160" w:end="0"/>
        <w:rPr/>
      </w:pPr>
      <w:r>
        <w:rPr/>
      </w:r>
    </w:p>
    <w:p>
      <w:pPr>
        <w:pStyle w:val="VEBodyText"/>
        <w:ind w:start="2160" w:end="0"/>
        <w:rPr/>
      </w:pPr>
      <w:r>
        <w:rPr/>
        <w:t>with a copy (which shall not constitute effective notice) to:</w:t>
      </w:r>
    </w:p>
    <w:p>
      <w:pPr>
        <w:pStyle w:val="VEBodyTextNoSpace"/>
        <w:ind w:start="2160" w:end="0"/>
        <w:rPr/>
      </w:pPr>
      <w:r>
        <w:rPr/>
        <w:t>Accenture LLP</w:t>
      </w:r>
    </w:p>
    <w:p>
      <w:pPr>
        <w:pStyle w:val="VEBodyTextNoSpace"/>
        <w:ind w:start="2160" w:end="0"/>
        <w:rPr/>
      </w:pPr>
      <w:r>
        <w:rPr/>
        <w:t>1661 Page Mill Rd.</w:t>
      </w:r>
    </w:p>
    <w:p>
      <w:pPr>
        <w:pStyle w:val="VEBodyTextNoSpace"/>
        <w:ind w:start="2160" w:end="0"/>
        <w:rPr/>
      </w:pPr>
      <w:r>
        <w:rPr/>
        <w:t>Palo Alto, CA  94304</w:t>
      </w:r>
    </w:p>
    <w:p>
      <w:pPr>
        <w:pStyle w:val="VEBodyTextNoSpace"/>
        <w:ind w:start="2160" w:end="0"/>
        <w:rPr/>
      </w:pPr>
      <w:r>
        <w:rPr/>
        <w:t>Attention:  General Counsel</w:t>
      </w:r>
    </w:p>
    <w:p>
      <w:pPr>
        <w:pStyle w:val="VEBodyText"/>
        <w:ind w:start="2160" w:end="0"/>
        <w:rPr/>
      </w:pPr>
      <w:r>
        <w:rPr/>
        <w:t>Facsimile Number:  (415) 843-2222</w:t>
      </w:r>
    </w:p>
    <w:p>
      <w:pPr>
        <w:pStyle w:val="VEBodyText"/>
        <w:rPr/>
      </w:pPr>
      <w:r>
        <w:rPr/>
        <w:t>Either Party may change its address for notices upon giving written notice of the change to the other Party in the manner provided above.</w:t>
      </w:r>
    </w:p>
    <w:p>
      <w:pPr>
        <w:pStyle w:val="VENumbered2"/>
        <w:numPr>
          <w:ilvl w:val="1"/>
          <w:numId w:val="7"/>
        </w:numPr>
        <w:ind w:hanging="0" w:start="0"/>
        <w:rPr>
          <w:vanish/>
          <w:color w:val="0000FF"/>
        </w:rPr>
      </w:pPr>
      <w:bookmarkStart w:id="117" w:name="__RefHeading___Toc515639097"/>
      <w:bookmarkEnd w:id="117"/>
      <w:r>
        <w:rPr/>
        <w:t>Severability</w:t>
      </w:r>
    </w:p>
    <w:p>
      <w:pPr>
        <w:pStyle w:val="VEBodyText2"/>
        <w:rPr/>
      </w:pP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 intent and agreements set forth herein.</w:t>
      </w:r>
    </w:p>
    <w:p>
      <w:pPr>
        <w:pStyle w:val="VENumbered2"/>
        <w:numPr>
          <w:ilvl w:val="1"/>
          <w:numId w:val="7"/>
        </w:numPr>
        <w:ind w:hanging="0" w:start="0"/>
        <w:rPr>
          <w:vanish/>
          <w:color w:val="0000FF"/>
        </w:rPr>
      </w:pPr>
      <w:bookmarkStart w:id="118" w:name="__RefHeading___Toc515639098"/>
      <w:bookmarkStart w:id="119" w:name="_Ref515617920"/>
      <w:bookmarkEnd w:id="118"/>
      <w:r>
        <w:rPr/>
        <w:t>Assignment</w:t>
      </w:r>
      <w:bookmarkEnd w:id="119"/>
    </w:p>
    <w:p>
      <w:pPr>
        <w:pStyle w:val="VEBodyText2"/>
        <w:rPr/>
      </w:pPr>
      <w:r>
        <w:rPr/>
        <w:t>.  Neither Party shall assign this Agreement or any part hereof or any benefit or interest herein or hereunder without the prior written consent of the other Party; provided, however,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VENumbered2"/>
        <w:numPr>
          <w:ilvl w:val="1"/>
          <w:numId w:val="7"/>
        </w:numPr>
        <w:ind w:hanging="0" w:start="0"/>
        <w:rPr>
          <w:vanish/>
          <w:color w:val="0000FF"/>
        </w:rPr>
      </w:pPr>
      <w:bookmarkStart w:id="120" w:name="__RefHeading___Toc515639099"/>
      <w:bookmarkEnd w:id="120"/>
      <w:r>
        <w:rPr/>
        <w:t>Remedies Cumulative</w:t>
      </w:r>
    </w:p>
    <w:p>
      <w:pPr>
        <w:pStyle w:val="VEBodyText2"/>
        <w:rPr/>
      </w:pP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VENumbered2"/>
        <w:numPr>
          <w:ilvl w:val="1"/>
          <w:numId w:val="7"/>
        </w:numPr>
        <w:ind w:hanging="0" w:start="0"/>
        <w:rPr>
          <w:vanish/>
          <w:color w:val="0000FF"/>
        </w:rPr>
      </w:pPr>
      <w:bookmarkStart w:id="121" w:name="__RefHeading___Toc515639100"/>
      <w:bookmarkEnd w:id="121"/>
      <w:r>
        <w:rPr/>
        <w:t>Amendment</w:t>
      </w:r>
    </w:p>
    <w:p>
      <w:pPr>
        <w:pStyle w:val="VEBodyText2"/>
        <w:rPr/>
      </w:pPr>
      <w:r>
        <w:rPr/>
        <w:t>.  This Agreement may not be modified or amended except by a written instrument executed by or on behalf of each of the Parties to this Agreement.</w:t>
      </w:r>
    </w:p>
    <w:p>
      <w:pPr>
        <w:pStyle w:val="VENumbered2"/>
        <w:numPr>
          <w:ilvl w:val="1"/>
          <w:numId w:val="7"/>
        </w:numPr>
        <w:ind w:hanging="0" w:start="0"/>
        <w:rPr>
          <w:vanish/>
          <w:color w:val="0000FF"/>
        </w:rPr>
      </w:pPr>
      <w:bookmarkStart w:id="122" w:name="__RefHeading___Toc515639101"/>
      <w:bookmarkEnd w:id="122"/>
      <w:r>
        <w:rPr/>
        <w:t>Waiver</w:t>
      </w:r>
    </w:p>
    <w:p>
      <w:pPr>
        <w:pStyle w:val="VEBodyText2"/>
        <w:rPr/>
      </w:pPr>
      <w:r>
        <w:rPr/>
        <w:t>.  The observance of any term of this Agreement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VENumbered2"/>
        <w:numPr>
          <w:ilvl w:val="1"/>
          <w:numId w:val="7"/>
        </w:numPr>
        <w:ind w:hanging="0" w:start="0"/>
        <w:rPr>
          <w:vanish/>
          <w:color w:val="0000FF"/>
        </w:rPr>
      </w:pPr>
      <w:bookmarkStart w:id="123" w:name="__RefHeading___Toc515639102"/>
      <w:bookmarkEnd w:id="123"/>
      <w:r>
        <w:rPr/>
        <w:t>Entire Agreement</w:t>
      </w:r>
    </w:p>
    <w:p>
      <w:pPr>
        <w:pStyle w:val="VEBodyText2"/>
        <w:rPr/>
      </w:pP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VENumbered2"/>
        <w:numPr>
          <w:ilvl w:val="1"/>
          <w:numId w:val="7"/>
        </w:numPr>
        <w:ind w:hanging="0" w:start="0"/>
        <w:rPr>
          <w:vanish/>
          <w:color w:val="0000FF"/>
        </w:rPr>
      </w:pPr>
      <w:bookmarkStart w:id="124" w:name="__RefHeading___Toc515639103"/>
      <w:bookmarkStart w:id="125" w:name="_Ref515696290"/>
      <w:bookmarkStart w:id="126" w:name="_Ref515696170"/>
      <w:bookmarkStart w:id="127" w:name="_Ref515696150"/>
      <w:bookmarkStart w:id="128" w:name="_Ref515696112"/>
      <w:bookmarkStart w:id="129" w:name="_Ref515693849"/>
      <w:bookmarkStart w:id="130" w:name="_Ref515693816"/>
      <w:bookmarkEnd w:id="124"/>
      <w:r>
        <w:rPr/>
        <w:t>Arbitration</w:t>
      </w:r>
      <w:bookmarkEnd w:id="125"/>
      <w:bookmarkEnd w:id="126"/>
      <w:bookmarkEnd w:id="127"/>
      <w:bookmarkEnd w:id="128"/>
      <w:bookmarkEnd w:id="129"/>
      <w:bookmarkEnd w:id="130"/>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bookmarkStart w:id="131" w:name="_Ref515866846"/>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Actions</w:t>
      </w:r>
      <w:r>
        <w:rPr/>
        <w:t xml:space="preserve">”), even though some or all of such </w:t>
      </w:r>
      <w:r>
        <w:rPr>
          <w:b/>
          <w:color w:val="FF6600"/>
        </w:rPr>
        <w:t>Actions</w:t>
      </w:r>
      <w:r>
        <w:rPr/>
        <w:t xml:space="preserve"> allegedly are extra-contractual in nature, whether such </w:t>
      </w:r>
      <w:r>
        <w:rPr>
          <w:b/>
          <w:color w:val="FF6600"/>
        </w:rPr>
        <w:t>Actions</w:t>
      </w:r>
      <w:r>
        <w:rPr/>
        <w:t xml:space="preserve"> sound in contract, tort, or otherwise, at law or in equity, under state or federal law, whether provided by statute or the common law, for damages or any other relief, shall (except as provided in </w:t>
      </w:r>
      <w:r>
        <w:rPr>
          <w:rStyle w:val="VEUnderline"/>
          <w:u w:val="none"/>
        </w:rPr>
        <w:t xml:space="preserve">Section </w:t>
      </w:r>
      <w:r>
        <w:rPr>
          <w:rStyle w:val="VEUnderline"/>
          <w:u w:val="none"/>
        </w:rPr>
        <w:fldChar w:fldCharType="begin"/>
      </w:r>
      <w:r>
        <w:rPr>
          <w:rStyle w:val="VEUnderline"/>
          <w:u w:val="none"/>
        </w:rPr>
        <w:instrText xml:space="preserve"> REF _Ref515696311 \w \w \h </w:instrText>
      </w:r>
      <w:r>
        <w:rPr>
          <w:rStyle w:val="VEUnderline"/>
          <w:u w:val="none"/>
        </w:rPr>
        <w:fldChar w:fldCharType="separate"/>
      </w:r>
      <w:r>
        <w:rPr>
          <w:rStyle w:val="VEUnderline"/>
          <w:u w:val="none"/>
        </w:rPr>
        <w:t>10.14</w:t>
      </w:r>
      <w:r>
        <w:rPr>
          <w:rStyle w:val="VEUnderline"/>
          <w:u w:val="none"/>
        </w:rPr>
        <w:fldChar w:fldCharType="end"/>
      </w:r>
      <w:r>
        <w:rPr/>
        <w:t>) be resolved by binding arbitration pursuant to this Agreement and the Federal Arbitration Act.</w:t>
      </w:r>
      <w:bookmarkEnd w:id="131"/>
    </w:p>
    <w:p>
      <w:pPr>
        <w:pStyle w:val="VENumbered3"/>
        <w:numPr>
          <w:ilvl w:val="2"/>
          <w:numId w:val="7"/>
        </w:numPr>
        <w:ind w:hanging="0" w:start="0"/>
        <w:rPr/>
      </w:pPr>
      <w:bookmarkStart w:id="132" w:name="_Ref515866659"/>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bookmarkEnd w:id="132"/>
    </w:p>
    <w:p>
      <w:pPr>
        <w:pStyle w:val="VENumbered3"/>
        <w:numPr>
          <w:ilvl w:val="2"/>
          <w:numId w:val="7"/>
        </w:numPr>
        <w:ind w:hanging="0" w:start="0"/>
        <w:rPr/>
      </w:pPr>
      <w:bookmarkStart w:id="133" w:name="_Ref515858801"/>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bookmarkEnd w:id="133"/>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w:t>
      </w:r>
      <w:r>
        <w:rPr>
          <w:b/>
          <w:color w:val="FF6600"/>
        </w:rPr>
        <w:t>Actions</w:t>
      </w:r>
      <w:r>
        <w:rPr/>
        <w:t xml:space="preserve">,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 xml:space="preserve">The arbitrator shall render their award on or before the 15th day following the last session of the hearing fully resolving all </w:t>
      </w:r>
      <w:r>
        <w:rPr>
          <w:b/>
          <w:color w:val="FF6600"/>
        </w:rPr>
        <w:t>Actions</w:t>
      </w:r>
      <w:r>
        <w:rPr/>
        <w:t xml:space="preserve">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w:t>
      </w:r>
      <w:r>
        <w:rPr>
          <w:b/>
          <w:color w:val="FF6600"/>
        </w:rPr>
        <w:t>Actions</w:t>
      </w:r>
      <w:r>
        <w:rPr/>
        <w:t xml:space="preserve"> in arbitration and that it will not commence an action or proceeding, except as provided in this Section or in </w:t>
      </w:r>
      <w:r>
        <w:rPr>
          <w:rStyle w:val="VEUnderline"/>
          <w:u w:val="none"/>
        </w:rPr>
        <w:t xml:space="preserve">Section </w:t>
      </w:r>
      <w:r>
        <w:rPr>
          <w:rStyle w:val="VEUnderline"/>
          <w:u w:val="none"/>
        </w:rPr>
        <w:fldChar w:fldCharType="begin"/>
      </w:r>
      <w:r>
        <w:rPr>
          <w:rStyle w:val="VEUnderline"/>
          <w:u w:val="none"/>
        </w:rPr>
        <w:instrText xml:space="preserve"> REF _Ref515696341 \w \w \h </w:instrText>
      </w:r>
      <w:r>
        <w:rPr>
          <w:rStyle w:val="VEUnderline"/>
          <w:u w:val="none"/>
        </w:rPr>
        <w:fldChar w:fldCharType="separate"/>
      </w:r>
      <w:r>
        <w:rPr>
          <w:rStyle w:val="VEUnderline"/>
          <w:u w:val="none"/>
        </w:rPr>
        <w:t>10.14</w:t>
      </w:r>
      <w:r>
        <w:rPr>
          <w:rStyle w:val="VEUnderline"/>
          <w:u w:val="none"/>
        </w:rPr>
        <w:fldChar w:fldCharType="end"/>
      </w:r>
      <w:r>
        <w:rPr/>
        <w:t>.</w:t>
      </w:r>
    </w:p>
    <w:p>
      <w:pPr>
        <w:pStyle w:val="VENumbered2"/>
        <w:numPr>
          <w:ilvl w:val="1"/>
          <w:numId w:val="7"/>
        </w:numPr>
        <w:ind w:hanging="0" w:start="0"/>
        <w:rPr>
          <w:vanish/>
          <w:color w:val="0000FF"/>
        </w:rPr>
      </w:pPr>
      <w:bookmarkStart w:id="134" w:name="__RefHeading___Toc515639104"/>
      <w:bookmarkStart w:id="135" w:name="_Ref515696341"/>
      <w:bookmarkStart w:id="136" w:name="_Ref515696311"/>
      <w:bookmarkEnd w:id="134"/>
      <w:r>
        <w:rPr/>
        <w:t>Injunctive Relief</w:t>
      </w:r>
      <w:bookmarkEnd w:id="135"/>
      <w:bookmarkEnd w:id="136"/>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u w:val="none"/>
        </w:rPr>
        <w:t xml:space="preserve">Section </w:t>
      </w:r>
      <w:r>
        <w:rPr>
          <w:rStyle w:val="VEUnderline"/>
          <w:u w:val="none"/>
        </w:rPr>
        <w:fldChar w:fldCharType="begin"/>
      </w:r>
      <w:r>
        <w:rPr>
          <w:rStyle w:val="VEUnderline"/>
          <w:u w:val="none"/>
        </w:rPr>
        <w:instrText xml:space="preserve"> REF _Ref515696290 \w \w \h </w:instrText>
      </w:r>
      <w:r>
        <w:rPr>
          <w:rStyle w:val="VEUnderline"/>
          <w:u w:val="none"/>
        </w:rPr>
        <w:fldChar w:fldCharType="separate"/>
      </w:r>
      <w:r>
        <w:rPr>
          <w:rStyle w:val="VEUnderline"/>
          <w:u w:val="none"/>
        </w:rPr>
        <w:t>10.13</w:t>
      </w:r>
      <w:r>
        <w:rPr>
          <w:rStyle w:val="VEUnderline"/>
          <w:u w:val="none"/>
        </w:rPr>
        <w:fldChar w:fldCharType="end"/>
      </w:r>
      <w:r>
        <w:rPr>
          <w:rStyle w:val="VEUnderline"/>
          <w:u w:val="none"/>
        </w:rPr>
        <w:t>.</w:t>
      </w:r>
    </w:p>
    <w:p>
      <w:pPr>
        <w:pStyle w:val="VENumbered2"/>
        <w:numPr>
          <w:ilvl w:val="1"/>
          <w:numId w:val="7"/>
        </w:numPr>
        <w:ind w:hanging="0" w:start="0"/>
        <w:rPr/>
      </w:pPr>
      <w:bookmarkStart w:id="137" w:name="__RefHeading___Toc515639105"/>
      <w:bookmarkEnd w:id="137"/>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w:t>
      </w:r>
      <w:r>
        <w:rPr/>
        <w:fldChar w:fldCharType="begin"/>
      </w:r>
      <w:r>
        <w:rPr/>
        <w:instrText xml:space="preserve"> REF _Ref515696522 \w \w \h </w:instrText>
      </w:r>
      <w:r>
        <w:rPr/>
        <w:fldChar w:fldCharType="separate"/>
      </w:r>
      <w:r>
        <w:rPr/>
        <w:t>10.6</w:t>
      </w:r>
      <w:r>
        <w:rPr/>
        <w:fldChar w:fldCharType="end"/>
      </w:r>
      <w:r>
        <w:rPr/>
        <w:t xml:space="preserve">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Numbered2"/>
        <w:numPr>
          <w:ilvl w:val="1"/>
          <w:numId w:val="7"/>
        </w:numPr>
        <w:ind w:hanging="0" w:start="0"/>
        <w:rPr>
          <w:vanish/>
          <w:color w:val="0000FF"/>
        </w:rPr>
      </w:pPr>
      <w:bookmarkStart w:id="138" w:name="__RefHeading___Toc515639106"/>
      <w:bookmarkEnd w:id="138"/>
      <w:r>
        <w:rPr/>
        <w:t>Counterparts</w:t>
      </w:r>
    </w:p>
    <w:p>
      <w:pPr>
        <w:pStyle w:val="VEBodyText2"/>
        <w:rPr/>
      </w:pP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VEBodyText"/>
        <w:rPr/>
      </w:pPr>
      <w:r>
        <w:rPr/>
        <w:t>[Balance of page left intentionally blank; signature page follows.]</w:t>
      </w:r>
      <w:r>
        <w:br w:type="page"/>
      </w:r>
    </w:p>
    <w:p>
      <w:pPr>
        <w:pStyle w:val="VEBodyText"/>
        <w:rPr/>
      </w:pPr>
      <w:r>
        <w:rPr/>
        <w:t>IN WITNESS WHEREOF, the Parties hereto have duly executed this Agreement of the Effective Date.</w:t>
      </w:r>
    </w:p>
    <w:p>
      <w:pPr>
        <w:pStyle w:val="VEBodyText"/>
        <w:rPr/>
      </w:pPr>
      <w:r>
        <w:rPr/>
        <w:t>ENRON NET WORKS LLC</w:t>
      </w:r>
    </w:p>
    <w:p>
      <w:pPr>
        <w:pStyle w:val="VEBodyTextNoSpace"/>
        <w:rPr/>
      </w:pPr>
      <w:r>
        <w:rPr/>
        <w:t>By:</w:t>
        <w:tab/>
      </w:r>
    </w:p>
    <w:p>
      <w:pPr>
        <w:pStyle w:val="VEBodyTextNoSpace"/>
        <w:rPr/>
      </w:pPr>
      <w:r>
        <w:rPr/>
        <w:t>Name:</w:t>
        <w:tab/>
      </w:r>
    </w:p>
    <w:p>
      <w:pPr>
        <w:pStyle w:val="VEBodyText"/>
        <w:rPr/>
      </w:pPr>
      <w:r>
        <w:rPr/>
        <w:t>Title:</w:t>
        <w:tab/>
      </w:r>
    </w:p>
    <w:p>
      <w:pPr>
        <w:pStyle w:val="VEBodyText"/>
        <w:rPr/>
      </w:pPr>
      <w:r>
        <w:rPr/>
      </w:r>
    </w:p>
    <w:p>
      <w:pPr>
        <w:pStyle w:val="VEBodyText"/>
        <w:rPr/>
      </w:pPr>
      <w:r>
        <w:rPr/>
        <w:t>ACCENTURE LLP</w:t>
      </w:r>
    </w:p>
    <w:p>
      <w:pPr>
        <w:pStyle w:val="VEBodyTextNoSpace"/>
        <w:rPr/>
      </w:pPr>
      <w:r>
        <w:rPr/>
        <w:t>By:</w:t>
        <w:tab/>
      </w:r>
    </w:p>
    <w:p>
      <w:pPr>
        <w:pStyle w:val="VEBodyTextNoSpace"/>
        <w:rPr/>
      </w:pPr>
      <w:r>
        <w:rPr/>
        <w:t>Name:</w:t>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VEBodyText"/>
        <w:rPr/>
      </w:pPr>
      <w:r>
        <w:rPr/>
        <w:t>Title:</w:t>
        <w:tab/>
      </w:r>
    </w:p>
    <w:p>
      <w:pPr>
        <w:pStyle w:val="VECenteredText"/>
        <w:rPr/>
      </w:pPr>
      <w:r>
        <w:rPr/>
        <w:t xml:space="preserve">SCHEDULE </w:t>
      </w:r>
      <w:r>
        <w:rPr/>
        <w:fldChar w:fldCharType="begin"/>
      </w:r>
      <w:r>
        <w:rPr/>
        <w:instrText xml:space="preserve"> REF _Ref515593775 \w \w \h </w:instrText>
      </w:r>
      <w:r>
        <w:rPr/>
        <w:fldChar w:fldCharType="separate"/>
      </w:r>
      <w:r>
        <w:rPr/>
        <w:t>2.5</w:t>
      </w:r>
      <w:r>
        <w:rPr/>
        <w:fldChar w:fldCharType="end"/>
      </w:r>
    </w:p>
    <w:p>
      <w:pPr>
        <w:pStyle w:val="VEBodyText"/>
        <w:rPr/>
      </w:pPr>
      <w:r>
        <w:rPr/>
        <w:t xml:space="preserve">SERVICE LEVELS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VEBodyText"/>
        <w:rPr/>
      </w:pPr>
      <w:r>
        <w:rPr/>
        <w:t>[to be developed]</w:t>
      </w:r>
    </w:p>
    <w:p>
      <w:pPr>
        <w:pStyle w:val="VECenteredText"/>
        <w:rPr/>
      </w:pPr>
      <w:r>
        <w:rPr/>
        <w:t xml:space="preserve">SCHEDULE </w:t>
      </w:r>
      <w:r>
        <w:rPr/>
        <w:fldChar w:fldCharType="begin"/>
      </w:r>
      <w:r>
        <w:rPr/>
        <w:instrText xml:space="preserve"> REF _Ref515633292 \w \w \h </w:instrText>
      </w:r>
      <w:r>
        <w:rPr/>
        <w:fldChar w:fldCharType="separate"/>
      </w:r>
      <w:r>
        <w:rPr/>
        <w:t>5.1</w:t>
      </w:r>
      <w:r>
        <w:rPr/>
        <w:fldChar w:fldCharType="end"/>
      </w:r>
    </w:p>
    <w:p>
      <w:pPr>
        <w:pStyle w:val="VECenteredText"/>
        <w:rPr/>
      </w:pPr>
      <w:r>
        <w:rPr/>
        <w:t>MINIMUM ANNUAL PAYMENTS</w:t>
      </w:r>
    </w:p>
    <w:p>
      <w:pPr>
        <w:pStyle w:val="VEBodyText"/>
        <w:rPr/>
      </w:pPr>
      <w:r>
        <w:rPr/>
      </w:r>
    </w:p>
    <w:p>
      <w:pPr>
        <w:pStyle w:val="VEBodyText"/>
        <w:rPr>
          <w:rStyle w:val="VEUnderline"/>
          <w:u w:val="none"/>
        </w:rPr>
      </w:pPr>
      <w:r>
        <w:rPr>
          <w:rStyle w:val="VEUnderline"/>
        </w:rPr>
        <w:t>Contract Year</w:t>
      </w:r>
      <w:r>
        <w:rPr>
          <w:rStyle w:val="VEUnderline"/>
          <w:u w:val="none"/>
        </w:rPr>
        <w:tab/>
        <w:tab/>
        <w:tab/>
        <w:tab/>
      </w:r>
      <w:r>
        <w:rPr>
          <w:rStyle w:val="VEUnderline"/>
        </w:rPr>
        <w:t>Amount</w:t>
      </w:r>
    </w:p>
    <w:p>
      <w:pPr>
        <w:pStyle w:val="VEBodyText"/>
        <w:ind w:firstLine="720" w:end="0"/>
        <w:rPr/>
      </w:pPr>
      <w:r>
        <w:rPr/>
        <w:t>1</w:t>
        <w:tab/>
        <w:tab/>
        <w:tab/>
        <w:tab/>
        <w:t>$250,000</w:t>
      </w:r>
    </w:p>
    <w:p>
      <w:pPr>
        <w:pStyle w:val="VEBodyText"/>
        <w:ind w:firstLine="720" w:end="0"/>
        <w:rPr/>
      </w:pPr>
      <w:r>
        <w:rPr/>
        <w:t>2</w:t>
        <w:tab/>
        <w:tab/>
        <w:tab/>
        <w:tab/>
        <w:t>$1,200,000</w:t>
      </w:r>
    </w:p>
    <w:p>
      <w:pPr>
        <w:pStyle w:val="VEBodyText"/>
        <w:ind w:firstLine="720" w:end="0"/>
        <w:rPr/>
      </w:pPr>
      <w:r>
        <w:rPr/>
        <w:t>3</w:t>
        <w:tab/>
        <w:tab/>
        <w:tab/>
        <w:tab/>
        <w:t>$1,500,000</w:t>
      </w:r>
    </w:p>
    <w:p>
      <w:pPr>
        <w:pStyle w:val="VEBodyText"/>
        <w:ind w:firstLine="720" w:end="0"/>
        <w:rPr/>
      </w:pPr>
      <w:r>
        <w:rPr/>
        <w:t>4</w:t>
        <w:tab/>
        <w:tab/>
        <w:tab/>
        <w:tab/>
        <w:t>$1,200,000</w:t>
      </w:r>
    </w:p>
    <w:p>
      <w:pPr>
        <w:pStyle w:val="VEBodyText"/>
        <w:ind w:firstLine="720" w:end="0"/>
        <w:rPr/>
      </w:pPr>
      <w:r>
        <w:rPr/>
        <w:t>5</w:t>
        <w:tab/>
        <w:tab/>
        <w:tab/>
        <w:tab/>
        <w:t>$950,000</w:t>
      </w:r>
    </w:p>
    <w:p>
      <w:pPr>
        <w:pStyle w:val="VEBodyText"/>
        <w:rPr/>
      </w:pPr>
      <w:r>
        <w:rPr/>
      </w:r>
    </w:p>
    <w:p>
      <w:pPr>
        <w:pStyle w:val="VEBodyText"/>
        <w:rPr/>
      </w:pPr>
      <w:r>
        <w:rPr/>
      </w:r>
    </w:p>
    <w:p>
      <w:pPr>
        <w:pStyle w:val="VE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560569.4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560569.4</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560569.4</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560569.4</w:t>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ab/>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560569.4</w:t>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ab/>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560569.4</w:t>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0"/>
        </w:tabs>
        <w:ind w:start="0" w:firstLine="720"/>
      </w:pPr>
    </w:lvl>
    <w:lvl w:ilvl="2">
      <w:start w:val="1"/>
      <w:numFmt w:val="lowerLetter"/>
      <w:lvlText w:val="(%3)"/>
      <w:lvlJc w:val="start"/>
      <w:pPr>
        <w:tabs>
          <w:tab w:val="num" w:pos="0"/>
        </w:tabs>
        <w:ind w:start="0" w:firstLine="1440"/>
      </w:pPr>
    </w:lvl>
    <w:lvl w:ilvl="3">
      <w:start w:val="1"/>
      <w:numFmt w:val="lowerRoman"/>
      <w:lvlText w:val="(%4)"/>
      <w:lvlJc w:val="start"/>
      <w:pPr>
        <w:tabs>
          <w:tab w:val="num" w:pos="0"/>
        </w:tabs>
        <w:ind w:start="0" w:firstLine="2160"/>
      </w:pPr>
    </w:lvl>
    <w:lvl w:ilvl="4">
      <w:start w:val="1"/>
      <w:numFmt w:val="upperLetter"/>
      <w:lvlText w:val="%5."/>
      <w:lvlJc w:val="start"/>
      <w:pPr>
        <w:tabs>
          <w:tab w:val="num" w:pos="0"/>
        </w:tabs>
        <w:ind w:start="0" w:firstLine="2880"/>
      </w:pPr>
    </w:lvl>
    <w:lvl w:ilvl="5">
      <w:start w:val="1"/>
      <w:numFmt w:val="decimal"/>
      <w:lvlText w:val="%6."/>
      <w:lvlJc w:val="start"/>
      <w:pPr>
        <w:tabs>
          <w:tab w:val="num" w:pos="0"/>
        </w:tabs>
        <w:ind w:start="0" w:firstLine="3600"/>
      </w:pPr>
    </w:lvl>
    <w:lvl w:ilvl="6">
      <w:start w:val="1"/>
      <w:numFmt w:val="lowerLetter"/>
      <w:lvlText w:val="%7."/>
      <w:lvlJc w:val="start"/>
      <w:pPr>
        <w:tabs>
          <w:tab w:val="num" w:pos="0"/>
        </w:tabs>
        <w:ind w:start="0" w:firstLine="4320"/>
      </w:pPr>
    </w:lvl>
    <w:lvl w:ilvl="7">
      <w:start w:val="1"/>
      <w:numFmt w:val="lowerRoman"/>
      <w:lvlText w:val="%8."/>
      <w:lvlJc w:val="start"/>
      <w:pPr>
        <w:tabs>
          <w:tab w:val="num" w:pos="0"/>
        </w:tabs>
        <w:ind w:start="0" w:firstLine="5040"/>
      </w:pPr>
    </w:lvl>
    <w:lvl w:ilvl="8">
      <w:start w:val="1"/>
      <w:numFmt w:val="none"/>
      <w:suff w:val="nothing"/>
      <w:lvlText w:val="%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cs="Times New Roman"/>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rFonts w:cs="Times New Roman"/>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cs="Times New Roman"/>
      <w:szCs w:val="20"/>
    </w:rPr>
  </w:style>
  <w:style w:type="paragraph" w:styleId="Heading4">
    <w:name w:val="heading 4"/>
    <w:basedOn w:val="Normal"/>
    <w:next w:val="Normal"/>
    <w:qFormat/>
    <w:pPr>
      <w:numPr>
        <w:ilvl w:val="3"/>
        <w:numId w:val="1"/>
      </w:numPr>
      <w:spacing w:before="0" w:after="240"/>
      <w:outlineLvl w:val="3"/>
    </w:pPr>
    <w:rPr>
      <w:rFonts w:cs="Times New Roman"/>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cs="Times New Roman"/>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Times New Roman"/>
      <w:sz w:val="20"/>
      <w:szCs w:val="20"/>
    </w:rPr>
  </w:style>
  <w:style w:type="paragraph" w:styleId="Heading8">
    <w:name w:val="heading 8"/>
    <w:basedOn w:val="Normal"/>
    <w:next w:val="Normal"/>
    <w:qFormat/>
    <w:pPr>
      <w:numPr>
        <w:ilvl w:val="7"/>
        <w:numId w:val="1"/>
      </w:numPr>
      <w:spacing w:before="240" w:after="60"/>
      <w:outlineLvl w:val="7"/>
    </w:pPr>
    <w:rPr>
      <w:rFonts w:ascii="Arial" w:hAnsi="Arial" w:cs="Times New Roman"/>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Times New Roman"/>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4z0">
    <w:name w:val="WW8Num24z0"/>
    <w:qFormat/>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rFonts w:cs="Times New Roman"/>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3">
    <w:name w:val="toc 3"/>
    <w:basedOn w:val="VENormal"/>
    <w:pPr>
      <w:tabs>
        <w:tab w:val="clear" w:pos="720"/>
        <w:tab w:val="left" w:pos="2160" w:leader="none"/>
        <w:tab w:val="right" w:pos="9360" w:leader="dot"/>
      </w:tabs>
      <w:ind w:hanging="0" w:start="1440" w:end="0"/>
      <w:jc w:val="start"/>
    </w:pPr>
    <w:rPr/>
  </w:style>
  <w:style w:type="paragraph" w:styleId="TOC1">
    <w:name w:val="toc 1"/>
    <w:basedOn w:val="VENormal"/>
    <w:pPr>
      <w:tabs>
        <w:tab w:val="clear" w:pos="720"/>
        <w:tab w:val="right" w:pos="9360" w:leader="none"/>
      </w:tabs>
      <w:spacing w:before="280" w:after="280"/>
      <w:jc w:val="center"/>
    </w:pPr>
    <w:rPr>
      <w:lang w:val="en-CA" w:eastAsia="en-CA"/>
    </w:rPr>
  </w:style>
  <w:style w:type="paragraph" w:styleId="TOC2">
    <w:name w:val="toc 2"/>
    <w:basedOn w:val="VENormal"/>
    <w:pPr>
      <w:tabs>
        <w:tab w:val="clear" w:pos="720"/>
        <w:tab w:val="left" w:pos="1440" w:leader="none"/>
        <w:tab w:val="right" w:pos="9360" w:leader="dot"/>
      </w:tabs>
      <w:ind w:hanging="0" w:start="720" w:end="0"/>
      <w:jc w:val="start"/>
    </w:pPr>
    <w:rPr/>
  </w:style>
  <w:style w:type="paragraph" w:styleId="TOC4">
    <w:name w:val="toc 4"/>
    <w:basedOn w:val="VENormal"/>
    <w:pPr>
      <w:tabs>
        <w:tab w:val="clear" w:pos="720"/>
        <w:tab w:val="left" w:pos="2880" w:leader="none"/>
        <w:tab w:val="right" w:pos="9360" w:leader="dot"/>
      </w:tabs>
      <w:ind w:hanging="0" w:start="2160" w:end="0"/>
      <w:jc w:val="start"/>
    </w:pPr>
    <w:rPr/>
  </w:style>
  <w:style w:type="paragraph" w:styleId="TOC5">
    <w:name w:val="toc 5"/>
    <w:basedOn w:val="VENormal"/>
    <w:pPr>
      <w:tabs>
        <w:tab w:val="clear" w:pos="720"/>
        <w:tab w:val="left" w:pos="3600" w:leader="none"/>
        <w:tab w:val="right" w:pos="9360" w:leader="dot"/>
      </w:tabs>
      <w:ind w:hanging="0" w:start="2880" w:end="0"/>
      <w:jc w:val="start"/>
    </w:pPr>
    <w:rPr/>
  </w:style>
  <w:style w:type="paragraph" w:styleId="TOC6">
    <w:name w:val="toc 6"/>
    <w:basedOn w:val="VENormal"/>
    <w:pPr>
      <w:tabs>
        <w:tab w:val="clear" w:pos="720"/>
        <w:tab w:val="left" w:pos="4320" w:leader="none"/>
        <w:tab w:val="right" w:pos="9360" w:leader="dot"/>
      </w:tabs>
      <w:ind w:hanging="0" w:start="3600" w:end="0"/>
      <w:jc w:val="start"/>
    </w:pPr>
    <w:rPr/>
  </w:style>
  <w:style w:type="paragraph" w:styleId="TOC7">
    <w:name w:val="toc 7"/>
    <w:basedOn w:val="VENormal"/>
    <w:pPr>
      <w:tabs>
        <w:tab w:val="clear" w:pos="720"/>
        <w:tab w:val="left" w:pos="5040" w:leader="none"/>
        <w:tab w:val="right" w:pos="9360" w:leader="dot"/>
      </w:tabs>
      <w:ind w:hanging="0" w:start="4320" w:end="0"/>
      <w:jc w:val="start"/>
    </w:pPr>
    <w:rPr/>
  </w:style>
  <w:style w:type="paragraph" w:styleId="TOC8">
    <w:name w:val="toc 8"/>
    <w:basedOn w:val="VENormal"/>
    <w:pPr>
      <w:tabs>
        <w:tab w:val="clear" w:pos="720"/>
        <w:tab w:val="left" w:pos="5760" w:leader="none"/>
        <w:tab w:val="right" w:pos="9360" w:leader="dot"/>
      </w:tabs>
      <w:ind w:hanging="0" w:start="5040" w:end="0"/>
      <w:jc w:val="start"/>
    </w:pPr>
    <w:rPr/>
  </w:style>
  <w:style w:type="paragraph" w:styleId="TOC9">
    <w:name w:val="toc 9"/>
    <w:basedOn w:val="VENormal"/>
    <w:pPr>
      <w:tabs>
        <w:tab w:val="clear" w:pos="720"/>
        <w:tab w:val="left" w:pos="6480" w:leader="none"/>
        <w:tab w:val="right" w:pos="9360" w:leader="dot"/>
      </w:tabs>
      <w:ind w:hanging="0" w:start="5760" w:end="0"/>
      <w:jc w:val="start"/>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2001-06-03T12:36:00Z</dcterms:created>
  <dc:creator> </dc:creator>
  <dc:description/>
  <dc:language>en-CA</dc:language>
  <cp:lastModifiedBy> </cp:lastModifiedBy>
  <cp:lastPrinted>2001-06-03T09:12:00Z</cp:lastPrinted>
  <dcterms:modified xsi:type="dcterms:W3CDTF">2001-06-03T12:36:00Z</dcterms:modified>
  <cp:revision>2</cp:revision>
  <dc:subject/>
  <dc:title>LICENSING AGREEMENT</dc:title>
</cp:coreProperties>
</file>