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numPr>
          <w:ilvl w:val="0"/>
          <w:numId w:val="1"/>
        </w:numPr>
        <w:rPr/>
      </w:pPr>
      <w:r>
        <w:rPr/>
        <w:t>If a shipper has injections and withdrawals scheduled on the same contract, at the same point, (or even different points) on the same day and the scheduled activity nets to zero, why is this activity subject to the storage allocations?</w:t>
      </w:r>
    </w:p>
    <w:p>
      <w:pPr>
        <w:pStyle w:val="Normal"/>
        <w:ind w:start="720" w:end="0"/>
        <w:rPr/>
      </w:pPr>
      <w:r>
        <w:rPr>
          <w:i/>
          <w:iCs/>
          <w:u w:val="single"/>
        </w:rPr>
        <w:t>Response:</w:t>
      </w:r>
      <w:r>
        <w:rPr/>
        <w:t xml:space="preserve"> In determining whether to allocate storage, an individual shipper’s scheduled activity is not scrutinized.  During each of the 5 nomination/scheduling processes performed each gas day, the aggregate scheduled injection activity is netted against the aggregate scheduled withdrawal activity to derive the net scheduled activity. It is this aggregate net scheduled activity that is then compared to the operational storage capacity to determine whether a storage allocation is required. If required, either injections or withdrawals are allocated by price, until the net scheduled activity is less than or equal to operational capacity. The storage allocation is performed by price. Park’n Ride and FDD overrun is, being the lowest valued service is the first storage category allocated.  </w:t>
      </w:r>
    </w:p>
    <w:p>
      <w:pPr>
        <w:pStyle w:val="Normal"/>
        <w:ind w:start="720" w:end="0"/>
        <w:rPr/>
      </w:pPr>
      <w:r>
        <w:rPr>
          <w:i/>
          <w:iCs/>
          <w:u w:val="single"/>
        </w:rPr>
        <w:t>Note:</w:t>
      </w:r>
      <w:r>
        <w:rPr/>
        <w:t xml:space="preserve">  </w:t>
      </w:r>
      <w:r>
        <w:rPr>
          <w:i/>
          <w:iCs/>
        </w:rPr>
        <w:t>We may want to consider excluding nominations from the allocation process that net to zero.</w:t>
      </w:r>
      <w:r>
        <w:rPr/>
        <w:t xml:space="preserve">  </w:t>
      </w:r>
    </w:p>
    <w:p>
      <w:pPr>
        <w:pStyle w:val="Normal"/>
        <w:numPr>
          <w:ilvl w:val="0"/>
          <w:numId w:val="1"/>
        </w:numPr>
        <w:rPr/>
      </w:pPr>
      <w:r>
        <w:rPr/>
        <w:t xml:space="preserve">If storage is being allocated during ID2, will SBS be unavailable for all storage activity or will SBS still be available for SBS tied to FDD? </w:t>
      </w:r>
    </w:p>
    <w:p>
      <w:pPr>
        <w:pStyle w:val="Normal"/>
        <w:ind w:start="720" w:end="0"/>
        <w:rPr/>
      </w:pPr>
      <w:r>
        <w:rPr>
          <w:i/>
          <w:iCs/>
          <w:u w:val="single"/>
        </w:rPr>
        <w:t>Response:</w:t>
      </w:r>
      <w:r>
        <w:rPr/>
        <w:t xml:space="preserve"> At ID2, SBS will is not available for any reductions that occur during the confirmation process. It does not matter whether the SBS association is with an FDD agreement or an IDD agreement. SBS is unavailable during confirmations during ID2.  </w:t>
      </w:r>
    </w:p>
    <w:p>
      <w:pPr>
        <w:pStyle w:val="Normal"/>
        <w:numPr>
          <w:ilvl w:val="0"/>
          <w:numId w:val="1"/>
        </w:numPr>
        <w:rPr/>
      </w:pPr>
      <w:r>
        <w:rPr/>
        <w:t>If storage injections are being allocated, can SBS be left on for in cases requiring in storage withdrawals (i.e. where supplies are lost)?</w:t>
      </w:r>
    </w:p>
    <w:p>
      <w:pPr>
        <w:pStyle w:val="Normal"/>
        <w:ind w:start="720" w:end="0"/>
        <w:rPr/>
      </w:pPr>
      <w:r>
        <w:rPr>
          <w:i/>
          <w:iCs/>
          <w:u w:val="single"/>
        </w:rPr>
        <w:t>Response:</w:t>
      </w:r>
      <w:r>
        <w:rPr/>
        <w:t xml:space="preserve"> SBS cannot be selectively applied. It is either on or off. NNG is reviewing the matter to determine if SBS should be modified to incorporate the additional functionality. </w:t>
      </w:r>
    </w:p>
    <w:p>
      <w:pPr>
        <w:pStyle w:val="Normal"/>
        <w:ind w:start="720" w:end="0"/>
        <w:rPr/>
      </w:pPr>
      <w:r>
        <w:rPr>
          <w:i/>
          <w:iCs/>
          <w:u w:val="single"/>
        </w:rPr>
        <w:t xml:space="preserve">Note: </w:t>
      </w:r>
      <w:r>
        <w:rPr>
          <w:i/>
          <w:iCs/>
        </w:rPr>
        <w:t>Investigating the possibility of allowing SBS to fill in with balancing quantities that are opposite of allocation (i.e. allowing SBS withdrawals when allocating injections).</w:t>
      </w:r>
      <w:r>
        <w:rPr/>
        <w:t xml:space="preserve">  </w:t>
      </w:r>
    </w:p>
    <w:p>
      <w:pPr>
        <w:pStyle w:val="Normal"/>
        <w:numPr>
          <w:ilvl w:val="0"/>
          <w:numId w:val="1"/>
        </w:numPr>
        <w:rPr/>
      </w:pPr>
      <w:r>
        <w:rPr/>
        <w:t>Tenaska expressed concern about experiencing its first cut of the day due to storage allocation during ID2.</w:t>
      </w:r>
    </w:p>
    <w:p>
      <w:pPr>
        <w:pStyle w:val="Normal"/>
        <w:ind w:start="720" w:end="0"/>
        <w:rPr/>
      </w:pPr>
      <w:r>
        <w:rPr>
          <w:i/>
          <w:iCs/>
          <w:u w:val="single"/>
        </w:rPr>
        <w:t>Response:</w:t>
      </w:r>
      <w:r>
        <w:rPr/>
        <w:t xml:space="preserve"> Following a review of the days activities it was discovered that Tenaska experienced a series of receipt reductions that minimized the impact of the storage allocations throughout the day and these upstream reductions coupled with a change in a nominated path, resulting in the coding of such quantities as “incremental” caused a larger than expected cut during the storage allocation</w:t>
      </w:r>
    </w:p>
    <w:p>
      <w:pPr>
        <w:pStyle w:val="Normal"/>
        <w:numPr>
          <w:ilvl w:val="0"/>
          <w:numId w:val="1"/>
        </w:numPr>
        <w:rPr/>
      </w:pPr>
      <w:r>
        <w:rPr/>
        <w:t>Mirant thought their activity was being "bump" or cut in the ID2 cycle.</w:t>
      </w:r>
    </w:p>
    <w:p>
      <w:pPr>
        <w:pStyle w:val="Normal"/>
        <w:ind w:start="720" w:end="0"/>
        <w:rPr/>
      </w:pPr>
      <w:r>
        <w:rPr>
          <w:i/>
          <w:iCs/>
          <w:u w:val="single"/>
        </w:rPr>
        <w:t>Response:</w:t>
      </w:r>
      <w:r>
        <w:rPr/>
        <w:t xml:space="preserve"> Mirant check their activity on NBPL throughout the day and since there was no change did not realize the activity was cut on NNG throughout the day. The fact that NNG and NBPL do not true-up changes to scheduled activity until ID2 gave Mirant a false sense of security (For that reason shippers are instructed to check on scheduled quantities after each process to verify the scheduled quantity on each pipeline.) </w:t>
      </w:r>
    </w:p>
    <w:p>
      <w:pPr>
        <w:pStyle w:val="Normal"/>
        <w:numPr>
          <w:ilvl w:val="0"/>
          <w:numId w:val="1"/>
        </w:numPr>
        <w:rPr/>
      </w:pPr>
      <w:r>
        <w:rPr/>
        <w:t xml:space="preserve">Tenaska has expressed concern that waiting until the ID2 process (Confirmations) is a disservice because it leaves no time for shippers to resolve the problem. It would be their preference to eliminate SBS on confirmations during a process earlier in the gas day.  </w:t>
      </w:r>
    </w:p>
    <w:p>
      <w:pPr>
        <w:pStyle w:val="Normal"/>
        <w:ind w:start="720" w:end="0"/>
        <w:rPr/>
      </w:pPr>
      <w:r>
        <w:rPr>
          <w:i/>
          <w:iCs/>
          <w:u w:val="single"/>
        </w:rPr>
        <w:t xml:space="preserve">Response: </w:t>
      </w:r>
      <w:r>
        <w:rPr/>
        <w:t>NNG will take your comments under advisement as we evaluate these issues and develop resolutions. We appreciate the feedback.</w:t>
      </w:r>
    </w:p>
    <w:p>
      <w:pPr>
        <w:pStyle w:val="Normal"/>
        <w:ind w:start="720" w:end="0"/>
        <w:rPr/>
      </w:pPr>
      <w:r>
        <w:rPr>
          <w:i/>
          <w:iCs/>
          <w:u w:val="single"/>
        </w:rPr>
        <w:t xml:space="preserve">Note: </w:t>
      </w:r>
      <w:r>
        <w:rPr>
          <w:i/>
          <w:iCs/>
        </w:rPr>
        <w:t>Consider moving halting SBS coverage on earlier processes.</w:t>
      </w:r>
      <w:r>
        <w:rPr>
          <w:u w:val="single"/>
        </w:rPr>
        <w:t xml:space="preserve">   </w:t>
      </w:r>
    </w:p>
    <w:p>
      <w:pPr>
        <w:pStyle w:val="Normal"/>
        <w:ind w:start="360" w:end="0"/>
        <w:rPr>
          <w:u w:val="single"/>
        </w:rPr>
      </w:pPr>
      <w:r>
        <w:rPr>
          <w:u w:val="single"/>
        </w:rPr>
      </w:r>
    </w:p>
    <w:p>
      <w:pPr>
        <w:pStyle w:val="Normal"/>
        <w:ind w:start="720" w:end="0"/>
        <w:rPr>
          <w:i/>
          <w:i/>
          <w:iCs/>
          <w:u w:val="single"/>
        </w:rPr>
      </w:pPr>
      <w:r>
        <w:rPr>
          <w:i/>
          <w:iCs/>
          <w:u w:val="single"/>
        </w:rPr>
      </w:r>
    </w:p>
    <w:p>
      <w:pPr>
        <w:pStyle w:val="Normal"/>
        <w:ind w:start="720" w:end="0"/>
        <w:rPr>
          <w:i/>
          <w:i/>
          <w:iCs/>
          <w:u w:val="single"/>
        </w:rPr>
      </w:pPr>
      <w:r>
        <w:rPr>
          <w:i/>
          <w:iCs/>
          <w:u w:val="single"/>
        </w:rPr>
      </w:r>
    </w:p>
    <w:p>
      <w:pPr>
        <w:pStyle w:val="Normal"/>
        <w:ind w:start="720" w:end="0"/>
        <w:rPr/>
      </w:pPr>
      <w:r>
        <w:rPr/>
        <w:t>.</w:t>
      </w:r>
    </w:p>
    <w:p>
      <w:pPr>
        <w:pStyle w:val="Normal"/>
        <w:ind w:start="720" w:end="0"/>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/mnt/main-storage/datasets/enron-docs/doc/June_2001_Allocation_Issues.doc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Customer Concerns with SBS and Storage Allocations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Helv;Arial" w:hAnsi="Helv;Arial" w:cs="Helv;Arial"/>
      <w:color w:val="000000"/>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2001-06-25T11:42:00Z</dcterms:created>
  <dc:creator>mbodnar</dc:creator>
  <dc:description/>
  <dc:language>en-CA</dc:language>
  <cp:lastModifiedBy>mbodnar</cp:lastModifiedBy>
  <cp:lastPrinted>2001-06-25T14:13:00Z</cp:lastPrinted>
  <dcterms:modified xsi:type="dcterms:W3CDTF">2001-06-25T18:43:00Z</dcterms:modified>
  <cp:revision>10</cp:revision>
  <dc:subject/>
  <dc:title/>
</cp:coreProperties>
</file>