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00" w:type="dxa"/>
        <w:jc w:val="start"/>
        <w:tblInd w:w="0" w:type="dxa"/>
        <w:tblLayout w:type="fixed"/>
        <w:tblCellMar>
          <w:top w:w="0" w:type="dxa"/>
          <w:start w:w="30" w:type="dxa"/>
          <w:bottom w:w="0" w:type="dxa"/>
          <w:end w:w="30" w:type="dxa"/>
        </w:tblCellMar>
      </w:tblPr>
      <w:tblGrid>
        <w:gridCol w:w="490"/>
        <w:gridCol w:w="6380"/>
        <w:gridCol w:w="15"/>
        <w:gridCol w:w="1815"/>
      </w:tblGrid>
      <w:tr>
        <w:trPr>
          <w:trHeight w:val="276" w:hRule="atLeast"/>
        </w:trPr>
        <w:tc>
          <w:tcPr>
            <w:tcW w:w="490" w:type="dxa"/>
            <w:tcBorders>
              <w:top w:val="double" w:sz="6" w:space="0" w:color="000000"/>
              <w:start w:val="double" w:sz="6" w:space="0" w:color="000000"/>
              <w:bottom w:val="double" w:sz="6" w:space="0" w:color="000000"/>
              <w:end w:val="single" w:sz="6" w:space="0" w:color="000000"/>
            </w:tcBorders>
          </w:tcPr>
          <w:p>
            <w:pPr>
              <w:pStyle w:val="Normal"/>
              <w:snapToGrid w:val="false"/>
              <w:rPr>
                <w:rFonts w:ascii="Arial" w:hAnsi="Arial" w:eastAsia="Arial" w:cs="Arial"/>
                <w:b/>
                <w:bCs/>
                <w:color w:val="000000"/>
              </w:rPr>
            </w:pPr>
            <w:r>
              <w:rPr>
                <w:rFonts w:eastAsia="Arial" w:cs="Arial" w:ascii="Arial" w:hAnsi="Arial"/>
                <w:b/>
                <w:bCs/>
                <w:color w:val="000000"/>
              </w:rPr>
            </w:r>
          </w:p>
        </w:tc>
        <w:tc>
          <w:tcPr>
            <w:tcW w:w="6395" w:type="dxa"/>
            <w:gridSpan w:val="2"/>
            <w:tcBorders>
              <w:top w:val="double" w:sz="6" w:space="0" w:color="000000"/>
              <w:start w:val="single" w:sz="6" w:space="0" w:color="000000"/>
              <w:bottom w:val="double" w:sz="6" w:space="0" w:color="000000"/>
              <w:end w:val="single" w:sz="6" w:space="0" w:color="000000"/>
            </w:tcBorders>
          </w:tcPr>
          <w:p>
            <w:pPr>
              <w:pStyle w:val="Normal"/>
              <w:rPr>
                <w:rFonts w:ascii="Arial" w:hAnsi="Arial" w:eastAsia="Arial" w:cs="Arial"/>
                <w:b/>
                <w:bCs/>
                <w:color w:val="000000"/>
              </w:rPr>
            </w:pPr>
            <w:r>
              <w:rPr>
                <w:rFonts w:eastAsia="Arial" w:cs="Arial" w:ascii="Arial" w:hAnsi="Arial"/>
                <w:b/>
                <w:bCs/>
                <w:color w:val="000000"/>
              </w:rPr>
              <w:t xml:space="preserve">Issues from the June 13th Meeting </w:t>
            </w:r>
          </w:p>
        </w:tc>
        <w:tc>
          <w:tcPr>
            <w:tcW w:w="1815" w:type="dxa"/>
            <w:tcBorders>
              <w:top w:val="double" w:sz="6" w:space="0" w:color="000000"/>
              <w:start w:val="single" w:sz="6" w:space="0" w:color="000000"/>
              <w:bottom w:val="double" w:sz="6" w:space="0" w:color="000000"/>
              <w:end w:val="single" w:sz="6" w:space="0" w:color="000000"/>
            </w:tcBorders>
          </w:tcPr>
          <w:p>
            <w:pPr>
              <w:pStyle w:val="Normal"/>
              <w:rPr>
                <w:rFonts w:ascii="Arial" w:hAnsi="Arial" w:eastAsia="Arial" w:cs="Arial"/>
                <w:b/>
                <w:bCs/>
                <w:color w:val="000000"/>
              </w:rPr>
            </w:pPr>
            <w:r>
              <w:rPr>
                <w:rFonts w:eastAsia="Arial" w:cs="Arial" w:ascii="Arial" w:hAnsi="Arial"/>
                <w:b/>
                <w:bCs/>
                <w:color w:val="000000"/>
              </w:rPr>
              <w:t>Tariff</w:t>
            </w:r>
          </w:p>
        </w:tc>
      </w:tr>
      <w:tr>
        <w:trPr>
          <w:trHeight w:val="756" w:hRule="atLeast"/>
        </w:trPr>
        <w:tc>
          <w:tcPr>
            <w:tcW w:w="490" w:type="dxa"/>
            <w:tcBorders>
              <w:end w:val="single" w:sz="6" w:space="0" w:color="000000"/>
            </w:tcBorders>
          </w:tcPr>
          <w:p>
            <w:pPr>
              <w:pStyle w:val="Normal"/>
              <w:snapToGrid w:val="false"/>
              <w:rPr>
                <w:rFonts w:ascii="Arial" w:hAnsi="Arial" w:eastAsia="Arial" w:cs="Arial"/>
                <w:b/>
                <w:bCs/>
                <w:color w:val="000000"/>
              </w:rPr>
            </w:pPr>
            <w:r>
              <w:rPr>
                <w:rFonts w:eastAsia="Arial" w:cs="Arial" w:ascii="Arial" w:hAnsi="Arial"/>
                <w:b/>
                <w:bCs/>
                <w:color w:val="000000"/>
              </w:rPr>
            </w:r>
          </w:p>
        </w:tc>
        <w:tc>
          <w:tcPr>
            <w:tcW w:w="8210" w:type="dxa"/>
            <w:gridSpan w:val="3"/>
            <w:tcBorders>
              <w:start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Subject to Rule 51 of the CPUC Rules of Practice and Procedure, Rule 601 et seq. of the FERC Rules of Practice, Rule 408 of the Federal Rules of Evidence, and Section 1152 of the California Evidence Code</w:t>
            </w:r>
          </w:p>
        </w:tc>
        <w:tc>
          <w:tcPr>
            <w:tcW w:w="0" w:type="dxa"/>
            <w:vMerge w:val="continue"/>
            <w:tcBorders>
              <w:start w:val="single" w:sz="6" w:space="0" w:color="000000"/>
              <w:end w:val="single" w:sz="6" w:space="0" w:color="000000"/>
            </w:tcBorders>
          </w:tcPr>
          <w:p>
            <w:pPr>
              <w:pStyle w:val="Normal"/>
              <w:snapToGrid w:val="false"/>
              <w:rPr>
                <w:rFonts w:ascii="Arial" w:hAnsi="Arial" w:eastAsia="Arial" w:cs="Arial"/>
                <w:b/>
                <w:bCs/>
                <w:color w:val="000000"/>
              </w:rPr>
            </w:pPr>
            <w:r>
              <w:rPr>
                <w:rFonts w:eastAsia="Arial" w:cs="Arial" w:ascii="Arial" w:hAnsi="Arial"/>
                <w:b/>
                <w:bCs/>
                <w:color w:val="000000"/>
              </w:rPr>
            </w:r>
          </w:p>
        </w:tc>
      </w:tr>
      <w:tr>
        <w:trPr>
          <w:trHeight w:val="494"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 xml:space="preserve">Review the use of term "End-Use Customer"  consider using "Receipt" instead of supply because the delivery point may be off system.   Review thoroughly to clarify these terms. </w:t>
            </w:r>
          </w:p>
        </w:tc>
        <w:tc>
          <w:tcPr>
            <w:tcW w:w="181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G-BAL</w:t>
            </w:r>
          </w:p>
        </w:tc>
      </w:tr>
      <w:tr>
        <w:trPr>
          <w:trHeight w:val="494"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2</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End date of 12/31/02 is a concern.  Consider a phrase to allow extension of Attachment K if CPUC does not approve Gas Accord II by 1/1/03.</w:t>
            </w:r>
          </w:p>
        </w:tc>
        <w:tc>
          <w:tcPr>
            <w:tcW w:w="181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3.1 of "K"</w:t>
            </w:r>
          </w:p>
        </w:tc>
      </w:tr>
      <w:tr>
        <w:trPr>
          <w:trHeight w:val="247"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3</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Energy Division should be designated as auditor. (Issue 22 from 5/25 matrix)</w:t>
            </w:r>
          </w:p>
        </w:tc>
        <w:tc>
          <w:tcPr>
            <w:tcW w:w="181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4.1 of "K"</w:t>
            </w:r>
          </w:p>
        </w:tc>
      </w:tr>
      <w:tr>
        <w:trPr>
          <w:trHeight w:val="727"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4</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Only the Energy Division should be able to terminate Attachment K and require the CTA to pay for PG&amp;E’s reinstitution of the information-only bill.</w:t>
            </w:r>
          </w:p>
        </w:tc>
        <w:tc>
          <w:tcPr>
            <w:tcW w:w="181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4.3 of "K"</w:t>
            </w:r>
          </w:p>
        </w:tc>
      </w:tr>
      <w:tr>
        <w:trPr>
          <w:trHeight w:val="742"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5</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The term "bill format" should be deleted - CTAs should not be required to have prior authorization from CPUC to change format of bill.  In lieu of "bill format" suggest "bill information".  Add definition of requisite bill information to Exhibit B.</w:t>
            </w:r>
          </w:p>
        </w:tc>
        <w:tc>
          <w:tcPr>
            <w:tcW w:w="181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5.1, 6 Header 6.1, &amp; Exhibit B of "K"</w:t>
            </w:r>
          </w:p>
        </w:tc>
      </w:tr>
      <w:tr>
        <w:trPr>
          <w:trHeight w:val="742"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6</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The initial certification of the requisite customer information should be eliminated from the process.  An Energy Division audit conducted 2 times a year should be sufficient.</w:t>
            </w:r>
          </w:p>
        </w:tc>
        <w:tc>
          <w:tcPr>
            <w:tcW w:w="181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5.1 of "K"</w:t>
            </w:r>
          </w:p>
        </w:tc>
      </w:tr>
      <w:tr>
        <w:trPr>
          <w:trHeight w:val="494"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7</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Change "semiannually" to "2 times a year"</w:t>
            </w:r>
          </w:p>
        </w:tc>
        <w:tc>
          <w:tcPr>
            <w:tcW w:w="181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6.2 of "K" and G-CRED</w:t>
            </w:r>
          </w:p>
        </w:tc>
      </w:tr>
      <w:tr>
        <w:trPr>
          <w:trHeight w:val="247"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8</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Change audit rights period from 3 years to 1 year.</w:t>
            </w:r>
          </w:p>
        </w:tc>
        <w:tc>
          <w:tcPr>
            <w:tcW w:w="181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17.6 of "K"</w:t>
            </w:r>
          </w:p>
        </w:tc>
      </w:tr>
      <w:tr>
        <w:trPr>
          <w:trHeight w:val="742"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9</w:t>
            </w:r>
          </w:p>
        </w:tc>
        <w:tc>
          <w:tcPr>
            <w:tcW w:w="8210"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 xml:space="preserve">PG&amp;E should have tariff/contract language that more clearly specifies PG&amp;E’s obligations to CTAs –regarding the timing and accuracy with which PG&amp;E should present billing information - provide a "CTA Bill of Rights".  </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color w:val="000000"/>
              </w:rPr>
            </w:pPr>
            <w:r>
              <w:rPr>
                <w:rFonts w:eastAsia="Arial" w:cs="Arial" w:ascii="Arial" w:hAnsi="Arial"/>
                <w:color w:val="000000"/>
              </w:rPr>
            </w:r>
          </w:p>
        </w:tc>
      </w:tr>
      <w:tr>
        <w:trPr>
          <w:trHeight w:val="742"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10</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 xml:space="preserve">CTAs do not feel it is necessary to include some of the information PG&amp;E has listed on their customers bills (e.g:. meter reads, franchise fee, other details of PG&amp;E charges).  CTAs would like to include only a "PG&amp;E" total . </w:t>
            </w:r>
          </w:p>
        </w:tc>
        <w:tc>
          <w:tcPr>
            <w:tcW w:w="181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Exhibit A of Attachment K</w:t>
            </w:r>
          </w:p>
        </w:tc>
      </w:tr>
      <w:tr>
        <w:trPr>
          <w:trHeight w:val="742"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11</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 xml:space="preserve">Does 8.1 of Attachment K differ from ESP Agreement? </w:t>
            </w:r>
          </w:p>
        </w:tc>
        <w:tc>
          <w:tcPr>
            <w:tcW w:w="181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8.1 of K</w:t>
            </w:r>
          </w:p>
        </w:tc>
      </w:tr>
      <w:tr>
        <w:trPr>
          <w:trHeight w:val="989"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12</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 xml:space="preserve"> </w:t>
            </w:r>
            <w:r>
              <w:rPr>
                <w:rFonts w:eastAsia="Arial" w:cs="Arial" w:ascii="Arial" w:hAnsi="Arial"/>
                <w:color w:val="000000"/>
              </w:rPr>
              <w:t>Revise Paragraph 17.2 in Attachment K to make it clear what parties are obliged to respond to in discovery.</w:t>
            </w:r>
          </w:p>
        </w:tc>
        <w:tc>
          <w:tcPr>
            <w:tcW w:w="181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17.2 of K</w:t>
            </w:r>
          </w:p>
        </w:tc>
      </w:tr>
      <w:tr>
        <w:trPr>
          <w:trHeight w:val="247"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13</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Should the customer be allowed to own the entire meter set, or can a substantial amount of the total meter set labor costs be imputed to the meter that is owned by a customer?</w:t>
            </w:r>
          </w:p>
        </w:tc>
        <w:tc>
          <w:tcPr>
            <w:tcW w:w="181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2.1 of Meter Ownership</w:t>
            </w:r>
          </w:p>
        </w:tc>
      </w:tr>
      <w:tr>
        <w:trPr>
          <w:trHeight w:val="494"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14</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Can 4.1 of the meter ownership agreement (June 13th version),  be included in 8.1? They appear very similar.  For example, what difference between "malfunction" and "failed" meter?</w:t>
            </w:r>
          </w:p>
        </w:tc>
        <w:tc>
          <w:tcPr>
            <w:tcW w:w="181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4.1 of Meter Ownership</w:t>
            </w:r>
          </w:p>
        </w:tc>
      </w:tr>
      <w:tr>
        <w:trPr>
          <w:trHeight w:val="742"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15</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 xml:space="preserve">Will there be an administrative charge for testing the meter if the customer purchases a large quantity of gas meters?  PG&amp;E has standards for sampling  when it purchases large quantities of meters. </w:t>
            </w:r>
          </w:p>
        </w:tc>
        <w:tc>
          <w:tcPr>
            <w:tcW w:w="181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6.1 of Meter Ownership</w:t>
            </w:r>
          </w:p>
        </w:tc>
      </w:tr>
      <w:tr>
        <w:trPr>
          <w:trHeight w:val="494"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16</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PG&amp;E should provide more details on its meter maintenance schedule standards.  What is routine and what is non-routine?</w:t>
            </w:r>
          </w:p>
        </w:tc>
        <w:tc>
          <w:tcPr>
            <w:tcW w:w="1815"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0" w:leader="none"/>
              </w:tabs>
              <w:ind w:hanging="360" w:start="360"/>
              <w:rPr>
                <w:rFonts w:ascii="Arial" w:hAnsi="Arial" w:eastAsia="Arial" w:cs="Arial"/>
                <w:color w:val="000000"/>
              </w:rPr>
            </w:pPr>
            <w:r>
              <w:rPr>
                <w:rFonts w:eastAsia="Arial" w:cs="Arial" w:ascii="Arial" w:hAnsi="Arial"/>
                <w:color w:val="000000"/>
              </w:rPr>
              <w:t>of Meter Ownership</w:t>
            </w:r>
          </w:p>
          <w:p>
            <w:pPr>
              <w:pStyle w:val="Normal"/>
              <w:rPr>
                <w:rFonts w:ascii="Arial" w:hAnsi="Arial" w:eastAsia="Arial" w:cs="Arial"/>
                <w:color w:val="000000"/>
              </w:rPr>
            </w:pPr>
            <w:r>
              <w:rPr>
                <w:rFonts w:eastAsia="Arial" w:cs="Arial" w:ascii="Arial" w:hAnsi="Arial"/>
                <w:color w:val="000000"/>
              </w:rPr>
            </w:r>
          </w:p>
        </w:tc>
      </w:tr>
      <w:tr>
        <w:trPr>
          <w:trHeight w:val="742" w:hRule="atLeast"/>
        </w:trPr>
        <w:tc>
          <w:tcPr>
            <w:tcW w:w="490" w:type="dxa"/>
            <w:tcBorders>
              <w:top w:val="double" w:sz="6" w:space="0" w:color="000000"/>
              <w:start w:val="double" w:sz="6" w:space="0" w:color="000000"/>
              <w:bottom w:val="double" w:sz="6" w:space="0" w:color="000000"/>
              <w:end w:val="single" w:sz="6" w:space="0" w:color="000000"/>
            </w:tcBorders>
          </w:tcPr>
          <w:p>
            <w:pPr>
              <w:pStyle w:val="Normal"/>
              <w:snapToGrid w:val="false"/>
              <w:rPr>
                <w:rFonts w:ascii="Arial" w:hAnsi="Arial" w:eastAsia="Arial" w:cs="Arial"/>
                <w:b/>
                <w:bCs/>
                <w:color w:val="000000"/>
              </w:rPr>
            </w:pPr>
            <w:r>
              <w:rPr>
                <w:rFonts w:eastAsia="Arial" w:cs="Arial" w:ascii="Arial" w:hAnsi="Arial"/>
                <w:b/>
                <w:bCs/>
                <w:color w:val="000000"/>
              </w:rPr>
            </w:r>
          </w:p>
        </w:tc>
        <w:tc>
          <w:tcPr>
            <w:tcW w:w="6395" w:type="dxa"/>
            <w:gridSpan w:val="2"/>
            <w:tcBorders>
              <w:top w:val="double" w:sz="6" w:space="0" w:color="000000"/>
              <w:start w:val="single" w:sz="6" w:space="0" w:color="000000"/>
              <w:bottom w:val="double" w:sz="6" w:space="0" w:color="000000"/>
              <w:end w:val="single" w:sz="6" w:space="0" w:color="000000"/>
            </w:tcBorders>
          </w:tcPr>
          <w:p>
            <w:pPr>
              <w:pStyle w:val="Normal"/>
              <w:rPr>
                <w:rFonts w:ascii="Arial" w:hAnsi="Arial" w:eastAsia="Arial" w:cs="Arial"/>
                <w:b/>
                <w:bCs/>
                <w:color w:val="000000"/>
              </w:rPr>
            </w:pPr>
            <w:r>
              <w:rPr>
                <w:rFonts w:eastAsia="Arial" w:cs="Arial" w:ascii="Arial" w:hAnsi="Arial"/>
                <w:b/>
                <w:bCs/>
                <w:color w:val="000000"/>
              </w:rPr>
              <w:t xml:space="preserve">Issues June 13th Meeting </w:t>
            </w:r>
          </w:p>
        </w:tc>
        <w:tc>
          <w:tcPr>
            <w:tcW w:w="1815" w:type="dxa"/>
            <w:tcBorders>
              <w:top w:val="double" w:sz="6" w:space="0" w:color="000000"/>
              <w:start w:val="single" w:sz="6" w:space="0" w:color="000000"/>
              <w:bottom w:val="double" w:sz="6" w:space="0" w:color="000000"/>
              <w:end w:val="single" w:sz="6" w:space="0" w:color="000000"/>
            </w:tcBorders>
          </w:tcPr>
          <w:p>
            <w:pPr>
              <w:pStyle w:val="Normal"/>
              <w:rPr>
                <w:rFonts w:ascii="Arial" w:hAnsi="Arial" w:eastAsia="Arial" w:cs="Arial"/>
                <w:b/>
                <w:bCs/>
                <w:color w:val="000000"/>
              </w:rPr>
            </w:pPr>
            <w:r>
              <w:rPr>
                <w:rFonts w:eastAsia="Arial" w:cs="Arial" w:ascii="Arial" w:hAnsi="Arial"/>
                <w:b/>
                <w:bCs/>
                <w:color w:val="000000"/>
              </w:rPr>
              <w:t>Tariff</w:t>
            </w:r>
          </w:p>
        </w:tc>
      </w:tr>
      <w:tr>
        <w:trPr>
          <w:trHeight w:val="742" w:hRule="atLeast"/>
        </w:trPr>
        <w:tc>
          <w:tcPr>
            <w:tcW w:w="490" w:type="dxa"/>
            <w:tcBorders>
              <w:end w:val="single" w:sz="6" w:space="0" w:color="000000"/>
            </w:tcBorders>
          </w:tcPr>
          <w:p>
            <w:pPr>
              <w:pStyle w:val="Normal"/>
              <w:snapToGrid w:val="false"/>
              <w:rPr>
                <w:rFonts w:ascii="Arial" w:hAnsi="Arial" w:eastAsia="Arial" w:cs="Arial"/>
                <w:b/>
                <w:bCs/>
                <w:color w:val="000000"/>
              </w:rPr>
            </w:pPr>
            <w:r>
              <w:rPr>
                <w:rFonts w:eastAsia="Arial" w:cs="Arial" w:ascii="Arial" w:hAnsi="Arial"/>
                <w:b/>
                <w:bCs/>
                <w:color w:val="000000"/>
              </w:rPr>
            </w:r>
          </w:p>
        </w:tc>
        <w:tc>
          <w:tcPr>
            <w:tcW w:w="6395" w:type="dxa"/>
            <w:gridSpan w:val="2"/>
            <w:tcBorders>
              <w:start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Subject to Rule 51 of the CPUC Rules of Practice and Procedure, Rule 601 et seq. of the FERC Rules of Practice, Rule 408 of the Federal Rules of Evidence, and Section 1152 of the California Evidence Code</w:t>
            </w:r>
          </w:p>
        </w:tc>
        <w:tc>
          <w:tcPr>
            <w:tcW w:w="1815" w:type="dxa"/>
            <w:tcBorders>
              <w:start w:val="single" w:sz="6" w:space="0" w:color="000000"/>
              <w:end w:val="single" w:sz="6" w:space="0" w:color="000000"/>
            </w:tcBorders>
          </w:tcPr>
          <w:p>
            <w:pPr>
              <w:pStyle w:val="Normal"/>
              <w:snapToGrid w:val="false"/>
              <w:rPr>
                <w:rFonts w:ascii="Arial" w:hAnsi="Arial" w:eastAsia="Arial" w:cs="Arial"/>
                <w:b/>
                <w:bCs/>
                <w:color w:val="000000"/>
              </w:rPr>
            </w:pPr>
            <w:r>
              <w:rPr>
                <w:rFonts w:eastAsia="Arial" w:cs="Arial" w:ascii="Arial" w:hAnsi="Arial"/>
                <w:b/>
                <w:bCs/>
                <w:color w:val="000000"/>
              </w:rPr>
            </w:r>
          </w:p>
        </w:tc>
      </w:tr>
      <w:tr>
        <w:trPr>
          <w:trHeight w:val="276"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17</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Assignment of Meter Ownership agreement to affiliates should not require PG&amp;E approval.  Also, the Customer should be released of any liability if the Assignee meets PG&amp;E’s creditworthiness requirements.</w:t>
            </w:r>
          </w:p>
        </w:tc>
        <w:tc>
          <w:tcPr>
            <w:tcW w:w="181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9 of Meter Ownership</w:t>
            </w:r>
          </w:p>
        </w:tc>
      </w:tr>
      <w:tr>
        <w:trPr>
          <w:trHeight w:val="756"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18</w:t>
            </w:r>
          </w:p>
        </w:tc>
        <w:tc>
          <w:tcPr>
            <w:tcW w:w="638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Should PG&amp;E provide indemnification for the Customer?</w:t>
            </w:r>
          </w:p>
        </w:tc>
        <w:tc>
          <w:tcPr>
            <w:tcW w:w="1830"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10 of Meter Ownership and 13 of Meter Add-on</w:t>
            </w:r>
          </w:p>
        </w:tc>
      </w:tr>
      <w:tr>
        <w:trPr>
          <w:trHeight w:val="494"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19</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 xml:space="preserve">The use of an estimated removal charge should be "actual" or pre-determined and stated up-front so customers can know ahead of time how much this will cost.  A percent (%) of the administration fee was suggested.  </w:t>
            </w:r>
          </w:p>
        </w:tc>
        <w:tc>
          <w:tcPr>
            <w:tcW w:w="181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11.1 of Meter Ownership and 14.1 of Meter Add-on</w:t>
            </w:r>
          </w:p>
        </w:tc>
      </w:tr>
      <w:tr>
        <w:trPr>
          <w:trHeight w:val="494"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20</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Upon termination of the pilot, will PG&amp;E have the option to buy the customer owned meter?  Will PG&amp;E have the option to buy the customer owned meter prior to the termination of the pilot?</w:t>
            </w:r>
          </w:p>
        </w:tc>
        <w:tc>
          <w:tcPr>
            <w:tcW w:w="181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11.1 of Meter Ownership</w:t>
            </w:r>
          </w:p>
        </w:tc>
      </w:tr>
      <w:tr>
        <w:trPr>
          <w:trHeight w:val="494"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21</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 xml:space="preserve">Upon termination by PG&amp;E, should PG&amp;E bear the cost of removing the Gas Meter and have to reimburse the Customer a portion of the cost of the Gas Meter? </w:t>
            </w:r>
          </w:p>
        </w:tc>
        <w:tc>
          <w:tcPr>
            <w:tcW w:w="181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11.2 of Meter Ownership</w:t>
            </w:r>
          </w:p>
        </w:tc>
      </w:tr>
      <w:tr>
        <w:trPr>
          <w:trHeight w:val="742"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22</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Changes to the list of approved meters needs to be filed with CPUC, not changed at PG&amp;E’s discretion.  See statement on top of meter list.</w:t>
            </w:r>
          </w:p>
        </w:tc>
        <w:tc>
          <w:tcPr>
            <w:tcW w:w="181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Exhibit A of Meter Ownership</w:t>
            </w:r>
          </w:p>
        </w:tc>
      </w:tr>
      <w:tr>
        <w:trPr>
          <w:trHeight w:val="742"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23</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Be more specific about the 1000 devices.  Should be defined as 1000 gas accounts.</w:t>
            </w:r>
          </w:p>
        </w:tc>
        <w:tc>
          <w:tcPr>
            <w:tcW w:w="181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1.1 of Meter Add-on</w:t>
            </w:r>
          </w:p>
        </w:tc>
      </w:tr>
      <w:tr>
        <w:trPr>
          <w:trHeight w:val="989"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24</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Remove "testing" from the 1st sentence and add language addressing the safety issue.</w:t>
            </w:r>
          </w:p>
        </w:tc>
        <w:tc>
          <w:tcPr>
            <w:tcW w:w="181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3.4 of Meter Add-on</w:t>
            </w:r>
          </w:p>
        </w:tc>
      </w:tr>
      <w:tr>
        <w:trPr>
          <w:trHeight w:val="742"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25</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Will PG&amp;E use third parties to install devices if PG&amp;E can not meet timelines or the prices are too high?</w:t>
            </w:r>
          </w:p>
        </w:tc>
        <w:tc>
          <w:tcPr>
            <w:tcW w:w="181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Meter Add-on</w:t>
            </w:r>
          </w:p>
        </w:tc>
      </w:tr>
      <w:tr>
        <w:trPr>
          <w:trHeight w:val="494"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26</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Should the meter add-on devices pilot be expanded to include other meters  besides those of end-use customers?  For example, should a California gas producer’s meter be included?</w:t>
            </w:r>
          </w:p>
        </w:tc>
        <w:tc>
          <w:tcPr>
            <w:tcW w:w="181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1.2 of Meter Add-on</w:t>
            </w:r>
          </w:p>
        </w:tc>
      </w:tr>
      <w:tr>
        <w:trPr>
          <w:trHeight w:val="494"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27</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Should PG&amp;E be responsible for damage to Customer’s Add-on Device that is a result of PG&amp;E’s negligence?</w:t>
            </w:r>
          </w:p>
        </w:tc>
        <w:tc>
          <w:tcPr>
            <w:tcW w:w="181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 xml:space="preserve">11.2 of Meter Add-on </w:t>
            </w:r>
          </w:p>
        </w:tc>
      </w:tr>
      <w:tr>
        <w:trPr>
          <w:trHeight w:val="494"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28</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Consider ways to speed up PG&amp;E review process for approving credit for capacity trading via Altra system.</w:t>
            </w:r>
          </w:p>
        </w:tc>
        <w:tc>
          <w:tcPr>
            <w:tcW w:w="1815"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color w:val="000000"/>
              </w:rPr>
            </w:pPr>
            <w:r>
              <w:rPr>
                <w:rFonts w:eastAsia="Arial" w:cs="Arial" w:ascii="Arial" w:hAnsi="Arial"/>
                <w:color w:val="000000"/>
              </w:rPr>
            </w:r>
          </w:p>
        </w:tc>
      </w:tr>
      <w:tr>
        <w:trPr>
          <w:trHeight w:val="494"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29</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Modify Attachment I (Alternate Resource Declaration)  to include separate lines for the transport/storage path and for the supply source.  Ask for contract numbers on transport/storage only</w:t>
            </w:r>
          </w:p>
        </w:tc>
        <w:tc>
          <w:tcPr>
            <w:tcW w:w="181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Attachment I</w:t>
            </w:r>
          </w:p>
        </w:tc>
      </w:tr>
      <w:tr>
        <w:trPr>
          <w:trHeight w:val="494" w:hRule="atLeast"/>
        </w:trPr>
        <w:tc>
          <w:tcPr>
            <w:tcW w:w="4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30</w:t>
            </w:r>
          </w:p>
        </w:tc>
        <w:tc>
          <w:tcPr>
            <w:tcW w:w="6395"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With the Customer's consent, should the Customer's agent be allowed to sign the Meter Ownership and Add-on Device agreements?</w:t>
            </w:r>
          </w:p>
        </w:tc>
        <w:tc>
          <w:tcPr>
            <w:tcW w:w="181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Meter Ownership</w:t>
            </w:r>
          </w:p>
          <w:p>
            <w:pPr>
              <w:pStyle w:val="Normal"/>
              <w:rPr>
                <w:rFonts w:ascii="Arial" w:hAnsi="Arial" w:eastAsia="Arial" w:cs="Arial"/>
                <w:color w:val="000000"/>
              </w:rPr>
            </w:pPr>
            <w:r>
              <w:rPr>
                <w:rFonts w:eastAsia="Arial" w:cs="Arial" w:ascii="Arial" w:hAnsi="Arial"/>
                <w:color w:val="000000"/>
              </w:rPr>
              <w:t>Meter Add-on</w:t>
            </w:r>
          </w:p>
        </w:tc>
      </w:tr>
    </w:tbl>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Pacific Gas and Electric </w:t>
    </w:r>
  </w:p>
  <w:p>
    <w:pPr>
      <w:pStyle w:val="Header"/>
      <w:rPr/>
    </w:pPr>
    <w:r>
      <w:rPr/>
      <w:t>Gas OII Settlement Agreement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6.%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2000-06-20T12:33:00Z</dcterms:created>
  <dc:creator>A Valued Microsoft Customer</dc:creator>
  <dc:description/>
  <dc:language>en-CA</dc:language>
  <cp:lastModifiedBy>A Valued Microsoft Customer</cp:lastModifiedBy>
  <dcterms:modified xsi:type="dcterms:W3CDTF">2000-06-20T20:06:00Z</dcterms:modified>
  <cp:revision>17</cp:revision>
  <dc:subject/>
  <dc:title>Issues June 13th Meeting </dc:title>
</cp:coreProperties>
</file>