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18" w:type="dxa"/>
        <w:jc w:val="start"/>
        <w:tblInd w:w="0" w:type="dxa"/>
        <w:tblLayout w:type="fixed"/>
        <w:tblCellMar>
          <w:top w:w="0" w:type="dxa"/>
          <w:start w:w="30" w:type="dxa"/>
          <w:bottom w:w="0" w:type="dxa"/>
          <w:end w:w="30" w:type="dxa"/>
        </w:tblCellMar>
      </w:tblPr>
      <w:tblGrid>
        <w:gridCol w:w="300"/>
        <w:gridCol w:w="4590"/>
        <w:gridCol w:w="3535"/>
        <w:gridCol w:w="1144"/>
        <w:gridCol w:w="1"/>
        <w:gridCol w:w="148"/>
      </w:tblGrid>
      <w:tr>
        <w:trPr>
          <w:trHeight w:val="276" w:hRule="atLeast"/>
        </w:trPr>
        <w:tc>
          <w:tcPr>
            <w:tcW w:w="300" w:type="dxa"/>
            <w:tcBorders>
              <w:top w:val="double" w:sz="6" w:space="0" w:color="000000"/>
              <w:start w:val="double" w:sz="6" w:space="0" w:color="000000"/>
              <w:bottom w:val="double" w:sz="6" w:space="0" w:color="000000"/>
              <w:end w:val="single" w:sz="6" w:space="0" w:color="000000"/>
            </w:tcBorders>
          </w:tcPr>
          <w:p>
            <w:pPr>
              <w:pStyle w:val="Normal"/>
              <w:snapToGrid w:val="false"/>
              <w:rPr>
                <w:rFonts w:ascii="Arial" w:hAnsi="Arial" w:eastAsia="Arial" w:cs="Arial"/>
                <w:b/>
                <w:bCs/>
                <w:color w:val="000000"/>
              </w:rPr>
            </w:pPr>
            <w:r>
              <w:rPr>
                <w:rFonts w:eastAsia="Arial" w:cs="Arial" w:ascii="Arial" w:hAnsi="Arial"/>
                <w:b/>
                <w:bCs/>
                <w:color w:val="000000"/>
              </w:rPr>
            </w:r>
          </w:p>
        </w:tc>
        <w:tc>
          <w:tcPr>
            <w:tcW w:w="4590" w:type="dxa"/>
            <w:tcBorders>
              <w:top w:val="double" w:sz="6" w:space="0" w:color="000000"/>
              <w:start w:val="single" w:sz="6" w:space="0" w:color="000000"/>
              <w:bottom w:val="double" w:sz="6" w:space="0" w:color="000000"/>
              <w:end w:val="single" w:sz="6" w:space="0" w:color="000000"/>
            </w:tcBorders>
          </w:tcPr>
          <w:p>
            <w:pPr>
              <w:pStyle w:val="Normal"/>
              <w:rPr>
                <w:rFonts w:ascii="Arial" w:hAnsi="Arial" w:eastAsia="Arial" w:cs="Arial"/>
                <w:b/>
                <w:bCs/>
                <w:color w:val="000000"/>
              </w:rPr>
            </w:pPr>
            <w:r>
              <w:rPr>
                <w:rFonts w:eastAsia="Arial" w:cs="Arial" w:ascii="Arial" w:hAnsi="Arial"/>
                <w:b/>
                <w:bCs/>
                <w:color w:val="000000"/>
              </w:rPr>
              <w:t xml:space="preserve">Issues from the June 13th Meeting </w:t>
            </w:r>
          </w:p>
        </w:tc>
        <w:tc>
          <w:tcPr>
            <w:tcW w:w="3535" w:type="dxa"/>
            <w:tcBorders>
              <w:top w:val="double" w:sz="6" w:space="0" w:color="000000"/>
              <w:start w:val="single" w:sz="6" w:space="0" w:color="000000"/>
              <w:bottom w:val="double" w:sz="6" w:space="0" w:color="000000"/>
              <w:end w:val="single" w:sz="6" w:space="0" w:color="000000"/>
            </w:tcBorders>
          </w:tcPr>
          <w:p>
            <w:pPr>
              <w:pStyle w:val="Normal"/>
              <w:rPr>
                <w:rFonts w:ascii="Arial" w:hAnsi="Arial" w:eastAsia="Arial" w:cs="Arial"/>
                <w:b/>
                <w:bCs/>
                <w:color w:val="000000"/>
              </w:rPr>
            </w:pPr>
            <w:r>
              <w:rPr>
                <w:rFonts w:eastAsia="Arial" w:cs="Arial" w:ascii="Arial" w:hAnsi="Arial"/>
                <w:b/>
                <w:bCs/>
                <w:color w:val="000000"/>
              </w:rPr>
              <w:t>Proposed Resolution June 23</w:t>
            </w:r>
          </w:p>
        </w:tc>
        <w:tc>
          <w:tcPr>
            <w:tcW w:w="1144" w:type="dxa"/>
            <w:tcBorders>
              <w:top w:val="double" w:sz="6" w:space="0" w:color="000000"/>
              <w:start w:val="single" w:sz="6" w:space="0" w:color="000000"/>
              <w:bottom w:val="double" w:sz="6" w:space="0" w:color="000000"/>
              <w:end w:val="single" w:sz="6" w:space="0" w:color="000000"/>
            </w:tcBorders>
          </w:tcPr>
          <w:p>
            <w:pPr>
              <w:pStyle w:val="Normal"/>
              <w:rPr>
                <w:rFonts w:ascii="Arial" w:hAnsi="Arial" w:eastAsia="Arial" w:cs="Arial"/>
                <w:b/>
                <w:bCs/>
                <w:color w:val="000000"/>
              </w:rPr>
            </w:pPr>
            <w:r>
              <w:rPr>
                <w:rFonts w:eastAsia="Arial" w:cs="Arial" w:ascii="Arial" w:hAnsi="Arial"/>
                <w:b/>
                <w:bCs/>
                <w:color w:val="000000"/>
              </w:rPr>
              <w:t>Tariff</w:t>
            </w:r>
          </w:p>
        </w:tc>
        <w:tc>
          <w:tcPr>
            <w:tcW w:w="149" w:type="dxa"/>
            <w:gridSpan w:val="2"/>
            <w:tcBorders/>
            <w:tcMar>
              <w:start w:w="0" w:type="dxa"/>
              <w:end w:w="0" w:type="dxa"/>
            </w:tcMar>
          </w:tcPr>
          <w:p>
            <w:pPr>
              <w:pStyle w:val="Normal"/>
              <w:snapToGrid w:val="false"/>
              <w:rPr>
                <w:rFonts w:ascii="Arial" w:hAnsi="Arial" w:eastAsia="Arial" w:cs="Arial"/>
                <w:b/>
                <w:bCs/>
                <w:color w:val="000000"/>
              </w:rPr>
            </w:pPr>
            <w:r>
              <w:rPr>
                <w:rFonts w:eastAsia="Arial" w:cs="Arial" w:ascii="Arial" w:hAnsi="Arial"/>
                <w:b/>
                <w:bCs/>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Review the use of term "End-Use Customer"  consider using "Receipt" instead of supply because the delivery point may be off system.   Review thoroughly to clarify these terms. </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Have reviewed and determined “End-Use Customer is appropriately used.  The terms usage and supply are appropriately used.   Imbalances that occur due to Off-System deliveries or On-System Storage are discussed on page 14 of Schedule G-BAL. </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G-BAL</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End date of 12/31/02 is a concern.  Consider a phrase to allow extension of Attachment K if CPUC does not approve Gas Accord II by 1/1/03.</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PG&amp;E has kept the termination date, but Section 3.1 acknowledges that the parties can extend the agreement in writing beyond 12/31/02.</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3.1 of "K"</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47"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3</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Energy Division should be designated as auditor. (Issue 22 from 5/25 matrix)</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The Energy Division has been designated as the auditor of consumer protection issues.  PG&amp;E and the CTAs have mutual audit rights relating to the other obligations under the agreement.</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4.1 of "K"</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727"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4</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Only the Energy Division should be able to terminate Attachment K and require the CTA to pay for PG&amp;E’s reinstitution of the information-only bill.</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PG&amp;E has modified Section 4.3 to acknowledge the Energy Division's role.  However, as a signator to the agreement, PG&amp;E will need to be the party that actually terminates the agreement, not the Energy Division.  Also, PG&amp;E has retained the ability to independently terminate the agreement should the CTA breach one of its other obligations under the agreement.</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4.3 of "K"</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742"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5</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The term "bill format" should be deleted - CTAs should not be required to have prior authorization from CPUC to change format of bill.  In lieu of "bill format" suggest "bill information".  Add definition of requisite bill information to Exhibit B.</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References to bill "formats" have been replaced with references to bill information.  A definition of "requisite bill information" was not added since the term was not necessary to use.</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5.1, 6 Header 6.1, &amp; Exhibit B of "K"</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742"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6</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The initial certification of the requisite customer information should be eliminated from the process.  An Energy Division audit conducted 2 times a year should be sufficient.</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The initial certification step has been changed so that the CTAs provide the information to the Energy Division, not PG&amp;E.</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5.1 of "K"</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7</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Change "semiannually" to "2 times a year"</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This change has been incorporated.</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6.2 of "K" and G-CRED</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47"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8</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Change audit rights period from 3 years to 1 year.</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This has been left at 3 years, recognizing PG&amp;E's right and responsibility to adjust billings for certain customers for up to three years.</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17.6 of "K"</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742"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9</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PG&amp;E should have tariff/contract language that more clearly specifies PG&amp;E’s obligations to CTAs –regarding the timing and accuracy with which PG&amp;E should present billing information - provide a "CTA Bill of Rights".  </w:t>
            </w:r>
          </w:p>
          <w:p>
            <w:pPr>
              <w:pStyle w:val="Normal"/>
              <w:rPr>
                <w:rFonts w:ascii="Arial" w:hAnsi="Arial" w:eastAsia="Arial" w:cs="Arial"/>
                <w:color w:val="000000"/>
              </w:rPr>
            </w:pPr>
            <w:r>
              <w:rPr>
                <w:rFonts w:eastAsia="Arial" w:cs="Arial" w:ascii="Arial" w:hAnsi="Arial"/>
                <w:color w:val="000000"/>
              </w:rPr>
            </w:r>
          </w:p>
          <w:p>
            <w:pPr>
              <w:pStyle w:val="Normal"/>
              <w:rPr>
                <w:rFonts w:ascii="Arial" w:hAnsi="Arial" w:eastAsia="Arial" w:cs="Arial"/>
                <w:color w:val="000000"/>
              </w:rPr>
            </w:pPr>
            <w:r>
              <w:rPr>
                <w:rFonts w:eastAsia="Arial" w:cs="Arial" w:ascii="Arial" w:hAnsi="Arial"/>
                <w:color w:val="000000"/>
              </w:rPr>
            </w:r>
          </w:p>
        </w:tc>
        <w:tc>
          <w:tcPr>
            <w:tcW w:w="4680" w:type="dxa"/>
            <w:gridSpan w:val="3"/>
            <w:tcBorders>
              <w:top w:val="single" w:sz="6" w:space="0" w:color="000000"/>
              <w:start w:val="single" w:sz="6" w:space="0" w:color="000000"/>
              <w:bottom w:val="single" w:sz="6" w:space="0" w:color="000000"/>
              <w:end w:val="single" w:sz="6" w:space="0" w:color="000000"/>
            </w:tcBorders>
          </w:tcPr>
          <w:p>
            <w:pPr>
              <w:pStyle w:val="Normal"/>
              <w:ind w:start="360" w:end="0"/>
              <w:rPr>
                <w:rFonts w:ascii="Arial" w:hAnsi="Arial" w:eastAsia="Arial" w:cs="Arial"/>
                <w:color w:val="000000"/>
              </w:rPr>
            </w:pPr>
            <w:r>
              <w:rPr>
                <w:rFonts w:eastAsia="Arial" w:cs="Arial" w:ascii="Arial" w:hAnsi="Arial"/>
                <w:color w:val="000000"/>
              </w:rPr>
              <w:t>This proposal should be discussed in other regulatory proceedings.</w:t>
            </w:r>
          </w:p>
          <w:p>
            <w:pPr>
              <w:pStyle w:val="Normal"/>
              <w:ind w:start="360" w:end="0"/>
              <w:rPr>
                <w:rFonts w:ascii="Arial" w:hAnsi="Arial" w:eastAsia="Arial" w:cs="Arial"/>
                <w:color w:val="0000FF"/>
              </w:rPr>
            </w:pPr>
            <w:r>
              <w:rPr>
                <w:rFonts w:eastAsia="Arial" w:cs="Arial" w:ascii="Arial" w:hAnsi="Arial"/>
                <w:color w:val="0000FF"/>
              </w:rPr>
            </w:r>
          </w:p>
          <w:p>
            <w:pPr>
              <w:pStyle w:val="Normal"/>
              <w:rPr>
                <w:rFonts w:ascii="Arial" w:hAnsi="Arial" w:eastAsia="Arial" w:cs="Arial"/>
                <w:color w:val="000000"/>
              </w:rPr>
            </w:pPr>
            <w:r>
              <w:rPr>
                <w:rFonts w:eastAsia="Arial" w:cs="Arial" w:ascii="Arial" w:hAnsi="Arial"/>
                <w:color w:val="000000"/>
              </w:rPr>
            </w:r>
          </w:p>
        </w:tc>
        <w:tc>
          <w:tcPr>
            <w:tcW w:w="148" w:type="dxa"/>
            <w:tcBorders/>
          </w:tcPr>
          <w:p>
            <w:pPr>
              <w:pStyle w:val="Normal"/>
              <w:snapToGrid w:val="false"/>
              <w:rPr>
                <w:rFonts w:ascii="Arial" w:hAnsi="Arial" w:eastAsia="Arial" w:cs="Arial"/>
                <w:color w:val="000000"/>
              </w:rPr>
            </w:pPr>
            <w:r>
              <w:rPr>
                <w:rFonts w:eastAsia="Arial" w:cs="Arial" w:ascii="Arial" w:hAnsi="Arial"/>
                <w:color w:val="000000"/>
              </w:rPr>
            </w:r>
          </w:p>
        </w:tc>
      </w:tr>
      <w:tr>
        <w:trPr/>
        <w:tc>
          <w:tcPr>
            <w:tcW w:w="300"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eastAsia="Arial" w:cs="Arial"/>
                <w:color w:val="000000"/>
              </w:rPr>
            </w:pPr>
            <w:r>
              <w:rPr>
                <w:rFonts w:eastAsia="Arial" w:cs="Arial" w:ascii="Arial" w:hAnsi="Arial"/>
                <w:color w:val="000000"/>
              </w:rPr>
            </w:r>
          </w:p>
        </w:tc>
        <w:tc>
          <w:tcPr>
            <w:tcW w:w="45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eastAsia="Arial" w:cs="Arial"/>
                <w:b/>
                <w:bCs/>
                <w:color w:val="000000"/>
              </w:rPr>
            </w:pPr>
            <w:r>
              <w:rPr>
                <w:rFonts w:eastAsia="Arial" w:cs="Arial" w:ascii="Arial" w:hAnsi="Arial"/>
                <w:b/>
                <w:bCs/>
                <w:color w:val="000000"/>
              </w:rPr>
              <w:t xml:space="preserve">Issues from the June 13th Meeting </w:t>
            </w:r>
          </w:p>
        </w:tc>
        <w:tc>
          <w:tcPr>
            <w:tcW w:w="3535"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eastAsia="Arial" w:cs="Arial"/>
                <w:b/>
                <w:bCs/>
                <w:color w:val="000000"/>
              </w:rPr>
            </w:pPr>
            <w:r>
              <w:rPr>
                <w:rFonts w:eastAsia="Arial" w:cs="Arial" w:ascii="Arial" w:hAnsi="Arial"/>
                <w:b/>
                <w:bCs/>
                <w:color w:val="000000"/>
              </w:rPr>
              <w:t>Proposed Resolution June 23</w:t>
            </w:r>
          </w:p>
        </w:tc>
        <w:tc>
          <w:tcPr>
            <w:tcW w:w="114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eastAsia="Arial" w:cs="Arial"/>
                <w:b/>
                <w:bCs/>
                <w:color w:val="000000"/>
              </w:rPr>
            </w:pPr>
            <w:r>
              <w:rPr>
                <w:rFonts w:eastAsia="Arial" w:cs="Arial" w:ascii="Arial" w:hAnsi="Arial"/>
                <w:b/>
                <w:bCs/>
                <w:color w:val="000000"/>
              </w:rPr>
              <w:t>Tariff</w:t>
            </w:r>
          </w:p>
        </w:tc>
        <w:tc>
          <w:tcPr>
            <w:tcW w:w="149" w:type="dxa"/>
            <w:gridSpan w:val="2"/>
            <w:tcBorders/>
            <w:tcMar>
              <w:start w:w="0" w:type="dxa"/>
              <w:end w:w="0" w:type="dxa"/>
            </w:tcMar>
          </w:tcPr>
          <w:p>
            <w:pPr>
              <w:pStyle w:val="Normal"/>
              <w:snapToGrid w:val="false"/>
              <w:rPr>
                <w:rFonts w:ascii="Arial" w:hAnsi="Arial" w:eastAsia="Arial" w:cs="Arial"/>
                <w:b/>
                <w:bCs/>
                <w:color w:val="000000"/>
              </w:rPr>
            </w:pPr>
            <w:r>
              <w:rPr>
                <w:rFonts w:eastAsia="Arial" w:cs="Arial" w:ascii="Arial" w:hAnsi="Arial"/>
                <w:b/>
                <w:bCs/>
                <w:color w:val="000000"/>
              </w:rPr>
            </w:r>
          </w:p>
        </w:tc>
      </w:tr>
      <w:tr>
        <w:trPr>
          <w:trHeight w:val="742"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10</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CTAs do not feel it is necessary to include some of the information PG&amp;E has listed on their customers bills (e.g:. meter reads, franchise fee, other details of PG&amp;E charges).  CTAs would like to include only a "PG&amp;E" total . </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Exhibit A has been streamlined to show fewer charges and less information.</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Exhibit A of Attachment K</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742"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11</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Does 8.1 of Attachment K differ from ESP Agreement? </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The indemnification has been revised to make it mutual as in the ESP Service Agreement.  </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8.1 of K</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989"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12</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Revise Paragraph 17.2 in Attachment K to make it clear what parties are obliged to respond to in discovery.</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This text has been clarified.  See June 23,2000 version of Attachment K</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17.2 of K</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47" w:hRule="atLeast"/>
        </w:trPr>
        <w:tc>
          <w:tcPr>
            <w:tcW w:w="300" w:type="dxa"/>
            <w:tcBorders>
              <w:top w:val="single" w:sz="6" w:space="0" w:color="000000"/>
              <w:start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13</w:t>
            </w:r>
          </w:p>
        </w:tc>
        <w:tc>
          <w:tcPr>
            <w:tcW w:w="4590" w:type="dxa"/>
            <w:tcBorders>
              <w:top w:val="single" w:sz="6" w:space="0" w:color="000000"/>
              <w:start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Should the customer be allowed to own the entire meter set, or can a substantial amount of the total meter set labor costs be imputed to the meter that is owned by a customer?</w:t>
            </w:r>
          </w:p>
          <w:p>
            <w:pPr>
              <w:pStyle w:val="Normal"/>
              <w:rPr>
                <w:rFonts w:ascii="Arial" w:hAnsi="Arial" w:eastAsia="Arial" w:cs="Arial"/>
                <w:color w:val="000000"/>
              </w:rPr>
            </w:pPr>
            <w:r>
              <w:rPr>
                <w:rFonts w:eastAsia="Arial" w:cs="Arial" w:ascii="Arial" w:hAnsi="Arial"/>
                <w:color w:val="000000"/>
              </w:rPr>
            </w:r>
          </w:p>
          <w:p>
            <w:pPr>
              <w:pStyle w:val="Normal"/>
              <w:rPr>
                <w:rFonts w:ascii="Arial" w:hAnsi="Arial" w:eastAsia="Arial" w:cs="Arial"/>
                <w:color w:val="000000"/>
              </w:rPr>
            </w:pPr>
            <w:r>
              <w:rPr>
                <w:rFonts w:eastAsia="Arial" w:cs="Arial" w:ascii="Arial" w:hAnsi="Arial"/>
                <w:color w:val="000000"/>
              </w:rPr>
            </w:r>
          </w:p>
        </w:tc>
        <w:tc>
          <w:tcPr>
            <w:tcW w:w="3535" w:type="dxa"/>
            <w:tcBorders>
              <w:top w:val="single" w:sz="6" w:space="0" w:color="000000"/>
              <w:start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2.1 of Meter Ownership</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14</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Can 4.1 of the meter ownership agreement (June 13th version),  be included in 8.1? They appear very similar.  For example, what difference between "malfunction" and "failed" meter?</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4.1 of Meter Ownership</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742"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15</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Will there be an administrative charge for testing the meter if the customer purchases a large quantity of gas meters?  PG&amp;E has standards for sampling  when it purchases large quantities of meters. </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6.1 of Meter Ownership</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16</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PG&amp;E should provide more details on its meter maintenance schedule standards.  What is routine and what is non-routine?</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0" w:leader="none"/>
              </w:tabs>
              <w:ind w:hanging="360" w:start="360"/>
              <w:rPr>
                <w:rFonts w:ascii="Arial" w:hAnsi="Arial" w:eastAsia="Arial" w:cs="Arial"/>
                <w:color w:val="000000"/>
              </w:rPr>
            </w:pPr>
            <w:r>
              <w:rPr>
                <w:rFonts w:eastAsia="Arial" w:cs="Arial" w:ascii="Arial" w:hAnsi="Arial"/>
                <w:color w:val="000000"/>
              </w:rPr>
              <w:t>of Meter Ownership</w:t>
            </w:r>
          </w:p>
        </w:tc>
        <w:tc>
          <w:tcPr>
            <w:tcW w:w="149" w:type="dxa"/>
            <w:gridSpan w:val="2"/>
            <w:tcBorders/>
            <w:tcMar>
              <w:start w:w="0" w:type="dxa"/>
              <w:end w:w="0" w:type="dxa"/>
            </w:tcMar>
          </w:tcPr>
          <w:p>
            <w:pPr>
              <w:pStyle w:val="Normal"/>
              <w:numPr>
                <w:ilvl w:val="0"/>
                <w:numId w:val="1"/>
              </w:numPr>
              <w:tabs>
                <w:tab w:val="clear" w:pos="720"/>
                <w:tab w:val="left" w:pos="0" w:leader="none"/>
              </w:tabs>
              <w:snapToGrid w:val="false"/>
              <w:ind w:hanging="360" w:start="360"/>
              <w:rPr>
                <w:rFonts w:ascii="Arial" w:hAnsi="Arial" w:eastAsia="Arial" w:cs="Arial"/>
                <w:color w:val="000000"/>
              </w:rPr>
            </w:pPr>
            <w:r>
              <w:rPr>
                <w:rFonts w:eastAsia="Arial" w:cs="Arial" w:ascii="Arial" w:hAnsi="Arial"/>
                <w:color w:val="000000"/>
              </w:rPr>
            </w:r>
          </w:p>
        </w:tc>
      </w:tr>
      <w:tr>
        <w:trPr>
          <w:trHeight w:val="742"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17</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Assignment of Meter Ownership agreement to affiliates should not require PG&amp;E approval.  Also, the Customer should be released of any liability if the Assignee meets PG&amp;E’s creditworthiness requirements.</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9 of Meter Ownership</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742"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18</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Should PG&amp;E provide indemnification for the Customer?</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10 of Meter Ownership and 13 of Meter Add-on</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76"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19</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The use of an estimated removal charge should be "actual" or pre-determined and stated up-front so customers can know ahead of time how much this will cost.  A percent (%) of the administration fee was suggested.  </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11.1 of Meter Ownership and 14.1 of Meter Add-on</w:t>
            </w:r>
          </w:p>
        </w:tc>
        <w:tc>
          <w:tcPr>
            <w:tcW w:w="149" w:type="dxa"/>
            <w:gridSpan w:val="2"/>
            <w:tcBorders/>
            <w:tcMar>
              <w:start w:w="0" w:type="dxa"/>
              <w:end w:w="0" w:type="dxa"/>
            </w:tcMar>
          </w:tcPr>
          <w:p>
            <w:pPr>
              <w:pStyle w:val="Normal"/>
              <w:snapToGrid w:val="false"/>
              <w:rPr>
                <w:rFonts w:ascii="Arial" w:hAnsi="Arial" w:eastAsia="Arial" w:cs="Arial"/>
                <w:b/>
                <w:bCs/>
                <w:color w:val="000000"/>
              </w:rPr>
            </w:pPr>
            <w:r>
              <w:rPr>
                <w:rFonts w:eastAsia="Arial" w:cs="Arial" w:ascii="Arial" w:hAnsi="Arial"/>
                <w:b/>
                <w:bCs/>
                <w:color w:val="000000"/>
              </w:rPr>
            </w:r>
          </w:p>
        </w:tc>
      </w:tr>
      <w:tr>
        <w:trPr>
          <w:trHeight w:val="756" w:hRule="atLeast"/>
        </w:trPr>
        <w:tc>
          <w:tcPr>
            <w:tcW w:w="300" w:type="dxa"/>
            <w:tcBorders>
              <w:top w:val="single" w:sz="6" w:space="0" w:color="000000"/>
              <w:start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20</w:t>
            </w:r>
          </w:p>
        </w:tc>
        <w:tc>
          <w:tcPr>
            <w:tcW w:w="4590" w:type="dxa"/>
            <w:tcBorders>
              <w:top w:val="single" w:sz="6" w:space="0" w:color="000000"/>
              <w:start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Upon termination of the pilot, will PG&amp;E have the option to buy the customer owned meter?  Will PG&amp;E have the option to buy the customer owned meter prior to the termination of the pilot?</w:t>
            </w:r>
          </w:p>
        </w:tc>
        <w:tc>
          <w:tcPr>
            <w:tcW w:w="3535" w:type="dxa"/>
            <w:tcBorders>
              <w:top w:val="single" w:sz="6" w:space="0" w:color="000000"/>
              <w:start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11.1 of Meter Ownership</w:t>
            </w:r>
          </w:p>
        </w:tc>
        <w:tc>
          <w:tcPr>
            <w:tcW w:w="149" w:type="dxa"/>
            <w:gridSpan w:val="2"/>
            <w:tcBorders/>
            <w:tcMar>
              <w:start w:w="0" w:type="dxa"/>
              <w:end w:w="0" w:type="dxa"/>
            </w:tcMar>
          </w:tcPr>
          <w:p>
            <w:pPr>
              <w:pStyle w:val="Normal"/>
              <w:snapToGrid w:val="false"/>
              <w:rPr>
                <w:rFonts w:ascii="Arial" w:hAnsi="Arial" w:eastAsia="Arial" w:cs="Arial"/>
                <w:b/>
                <w:bCs/>
                <w:color w:val="000000"/>
              </w:rPr>
            </w:pPr>
            <w:r>
              <w:rPr>
                <w:rFonts w:eastAsia="Arial" w:cs="Arial" w:ascii="Arial" w:hAnsi="Arial"/>
                <w:b/>
                <w:bCs/>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b/>
                <w:bCs/>
                <w:color w:val="000000"/>
              </w:rPr>
            </w:pPr>
            <w:r>
              <w:rPr>
                <w:rFonts w:eastAsia="Arial" w:cs="Arial" w:ascii="Arial" w:hAnsi="Arial"/>
                <w:b/>
                <w:bCs/>
                <w:color w:val="000000"/>
              </w:rPr>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b/>
                <w:bCs/>
                <w:color w:val="000000"/>
              </w:rPr>
            </w:pPr>
            <w:r>
              <w:rPr>
                <w:rFonts w:eastAsia="Arial" w:cs="Arial" w:ascii="Arial" w:hAnsi="Arial"/>
                <w:b/>
                <w:bCs/>
                <w:color w:val="000000"/>
              </w:rPr>
              <w:t xml:space="preserve">Issues from the June 13th Meeting </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b/>
                <w:bCs/>
                <w:color w:val="000000"/>
              </w:rPr>
            </w:pPr>
            <w:r>
              <w:rPr>
                <w:rFonts w:eastAsia="Arial" w:cs="Arial" w:ascii="Arial" w:hAnsi="Arial"/>
                <w:b/>
                <w:bCs/>
                <w:color w:val="000000"/>
              </w:rPr>
              <w:t>Proposed Resolution June 23</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b/>
                <w:bCs/>
                <w:color w:val="000000"/>
              </w:rPr>
            </w:pPr>
            <w:r>
              <w:rPr>
                <w:rFonts w:eastAsia="Arial" w:cs="Arial" w:ascii="Arial" w:hAnsi="Arial"/>
                <w:b/>
                <w:bCs/>
                <w:color w:val="000000"/>
              </w:rPr>
              <w:t>Tariff</w:t>
            </w:r>
          </w:p>
        </w:tc>
        <w:tc>
          <w:tcPr>
            <w:tcW w:w="149" w:type="dxa"/>
            <w:gridSpan w:val="2"/>
            <w:tcBorders/>
            <w:tcMar>
              <w:start w:w="0" w:type="dxa"/>
              <w:end w:w="0" w:type="dxa"/>
            </w:tcMar>
          </w:tcPr>
          <w:p>
            <w:pPr>
              <w:pStyle w:val="Normal"/>
              <w:snapToGrid w:val="false"/>
              <w:rPr>
                <w:rFonts w:ascii="Arial" w:hAnsi="Arial" w:eastAsia="Arial" w:cs="Arial"/>
                <w:b/>
                <w:bCs/>
                <w:color w:val="000000"/>
              </w:rPr>
            </w:pPr>
            <w:r>
              <w:rPr>
                <w:rFonts w:eastAsia="Arial" w:cs="Arial" w:ascii="Arial" w:hAnsi="Arial"/>
                <w:b/>
                <w:bCs/>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21</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Upon termination by PG&amp;E, should PG&amp;E bear the cost of removing the Gas Meter and have to reimburse the Customer a portion of the cost of the Gas Meter? </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11.2 of Meter Ownership</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22</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Changes to the list of approved meters needs to be filed with CPUC, not changed at PG&amp;E’s discretion.  See statement on top of meter list.</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Exhibit A of Meter Ownership</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23</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Be more specific about the 1000 devices.  Should be defined as 1000 gas accounts.</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1.1 of Meter Add-on</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742"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24</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Remove "testing" from the 1st sentence and add language addressing the safety issue.</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3.4 of Meter Add-on</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742"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25</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PG&amp;E use third parties to install devices if PG&amp;E can not meet timelines or the prices are too high?</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Meter Add-on</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989"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26</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Should the meter add-on devices pilot be expanded to include other meters  besides those of end-use customers?  For example, should a California gas producer’s meter be included?</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1.2 of Meter Add-on</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742"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27</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Should PG&amp;E be responsible for damage to Customer’s Add-on Device that is a result of PG&amp;E’s negligence?</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11.2 of Meter Add-on </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28</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Consider ways to speed up PG&amp;E review process for approving credit for capacity trading via Altra system.</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 xml:space="preserve">If customer has an existing credit line (of appropriate amount) on the TPSP system the assignment shall be accepted instantly </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Gas Rule 21.2</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29</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Modify Attachment I (Alternate Resource Declaration)  to include separate lines for the transport/storage path and for the supply source.  Ask for contract numbers on transport/storage only</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Attachment I has been modified per the suggestion.</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Attachment I</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494" w:hRule="atLeast"/>
        </w:trPr>
        <w:tc>
          <w:tcPr>
            <w:tcW w:w="3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30</w:t>
            </w:r>
          </w:p>
        </w:tc>
        <w:tc>
          <w:tcPr>
            <w:tcW w:w="45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With the Customer's consent, should the Customer's agent be allowed to sign the Meter Ownership and Add-on Device agreements?</w:t>
            </w:r>
          </w:p>
        </w:tc>
        <w:tc>
          <w:tcPr>
            <w:tcW w:w="35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Will be provided June 28</w:t>
            </w:r>
          </w:p>
        </w:tc>
        <w:tc>
          <w:tcPr>
            <w:tcW w:w="11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rPr>
            </w:pPr>
            <w:r>
              <w:rPr>
                <w:rFonts w:eastAsia="Arial" w:cs="Arial" w:ascii="Arial" w:hAnsi="Arial"/>
                <w:color w:val="000000"/>
              </w:rPr>
              <w:t>Meter Ownership</w:t>
            </w:r>
          </w:p>
        </w:tc>
        <w:tc>
          <w:tcPr>
            <w:tcW w:w="149" w:type="dxa"/>
            <w:gridSpan w:val="2"/>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bl>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3</w:t>
    </w:r>
  </w:p>
  <w:p>
    <w:pPr>
      <w:pStyle w:val="Footer"/>
      <w:rPr/>
    </w:pPr>
    <w:r>
      <w:rPr>
        <w:rFonts w:eastAsia="Arial" w:cs="Arial" w:ascii="Arial" w:hAnsi="Arial"/>
        <w:color w:val="000000"/>
      </w:rPr>
      <w:t>Subject to Rule 51 of the CPUC Rules of Practice and Procedure, Rule 601 et seq. of the FERC Rules of Practice, Rule 408 of the Federal Rules of Evidence, and Section 1152 of the California Evidence Code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Pacific Gas and Electric </w:t>
    </w:r>
  </w:p>
  <w:p>
    <w:pPr>
      <w:pStyle w:val="Header"/>
      <w:rPr/>
    </w:pPr>
    <w:r>
      <w:rPr/>
      <w:t>Gas OII Settlement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6.%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2000-06-23T13:31:00Z</dcterms:created>
  <dc:creator>A Valued Microsoft Customer</dc:creator>
  <dc:description/>
  <dc:language>en-CA</dc:language>
  <cp:lastModifiedBy>A Valued Microsoft Customer</cp:lastModifiedBy>
  <dcterms:modified xsi:type="dcterms:W3CDTF">2000-06-23T18:58:00Z</dcterms:modified>
  <cp:revision>10</cp:revision>
  <dc:subject/>
  <dc:title>Issues June 13th Meeting </dc:title>
</cp:coreProperties>
</file>