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sz w:val="28"/>
        </w:rPr>
      </w:pPr>
      <w:r>
        <w:rPr>
          <w:sz w:val="28"/>
        </w:rPr>
      </w:r>
    </w:p>
    <w:p>
      <w:pPr>
        <w:pStyle w:val="Header"/>
        <w:tabs>
          <w:tab w:val="clear" w:pos="4320"/>
          <w:tab w:val="clear" w:pos="8640"/>
        </w:tabs>
        <w:rPr>
          <w:sz w:val="28"/>
        </w:rPr>
      </w:pPr>
      <w:r>
        <w:rPr>
          <w:sz w:val="28"/>
        </w:rPr>
      </w:r>
    </w:p>
    <w:p>
      <w:pPr>
        <w:pStyle w:val="Header"/>
        <w:tabs>
          <w:tab w:val="clear" w:pos="4320"/>
          <w:tab w:val="clear" w:pos="8640"/>
        </w:tabs>
        <w:jc w:val="center"/>
        <w:rPr>
          <w:b/>
          <w:shadow/>
          <w:color w:val="333399"/>
        </w:rPr>
      </w:pPr>
      <w:r>
        <w:rPr>
          <w:b/>
          <w:shadow/>
          <w:color w:val="333399"/>
        </w:rPr>
        <w:t>General FERC Matters</w:t>
      </w:r>
    </w:p>
    <w:p>
      <w:pPr>
        <w:pStyle w:val="Header"/>
        <w:tabs>
          <w:tab w:val="clear" w:pos="4320"/>
          <w:tab w:val="clear" w:pos="8640"/>
        </w:tabs>
        <w:rPr>
          <w:b/>
          <w:shadow/>
          <w:color w:val="333399"/>
        </w:rPr>
      </w:pPr>
      <w:r>
        <w:rPr>
          <w:b/>
          <w:shadow/>
          <w:color w:val="333399"/>
        </w:rPr>
      </w:r>
    </w:p>
    <w:p>
      <w:pPr>
        <w:pStyle w:val="Header"/>
        <w:numPr>
          <w:ilvl w:val="0"/>
          <w:numId w:val="1"/>
        </w:numPr>
        <w:tabs>
          <w:tab w:val="clear" w:pos="4320"/>
          <w:tab w:val="clear" w:pos="8640"/>
        </w:tabs>
        <w:rPr>
          <w:bCs/>
          <w:color w:val="333399"/>
        </w:rPr>
      </w:pPr>
      <w:r>
        <w:rPr>
          <w:b/>
          <w:color w:val="333399"/>
        </w:rPr>
        <w:t xml:space="preserve">FERC Public Meeting, June 13. </w:t>
      </w:r>
      <w:r>
        <w:rPr>
          <w:bCs/>
          <w:color w:val="333399"/>
        </w:rPr>
        <w:t xml:space="preserve">The following items are on the </w:t>
      </w:r>
      <w:hyperlink r:id="rId2">
        <w:r>
          <w:rPr>
            <w:rStyle w:val="Hyperlink"/>
            <w:bCs/>
          </w:rPr>
          <w:t>Agenda</w:t>
        </w:r>
      </w:hyperlink>
      <w:r>
        <w:rPr>
          <w:bCs/>
          <w:color w:val="333399"/>
        </w:rPr>
        <w:t xml:space="preserve"> for next week. </w:t>
      </w:r>
    </w:p>
    <w:p>
      <w:pPr>
        <w:pStyle w:val="Header"/>
        <w:numPr>
          <w:ilvl w:val="1"/>
          <w:numId w:val="1"/>
        </w:numPr>
        <w:tabs>
          <w:tab w:val="clear" w:pos="4320"/>
          <w:tab w:val="clear" w:pos="8640"/>
          <w:tab w:val="left" w:pos="1080" w:leader="none"/>
        </w:tabs>
        <w:ind w:hanging="360" w:start="1080" w:end="0"/>
        <w:rPr>
          <w:bCs/>
          <w:color w:val="333399"/>
        </w:rPr>
      </w:pPr>
      <w:r>
        <w:rPr>
          <w:bCs/>
          <w:color w:val="333399"/>
        </w:rPr>
        <w:t>Northern Natural’s compliance filing with changes to Limited Firm Throughput Service, RP00-223</w:t>
      </w:r>
    </w:p>
    <w:p>
      <w:pPr>
        <w:pStyle w:val="Header"/>
        <w:numPr>
          <w:ilvl w:val="1"/>
          <w:numId w:val="1"/>
        </w:numPr>
        <w:tabs>
          <w:tab w:val="clear" w:pos="4320"/>
          <w:tab w:val="clear" w:pos="8640"/>
          <w:tab w:val="left" w:pos="1080" w:leader="none"/>
        </w:tabs>
        <w:ind w:hanging="360" w:start="1080" w:end="0"/>
        <w:rPr>
          <w:bCs/>
          <w:color w:val="333399"/>
        </w:rPr>
      </w:pPr>
      <w:r>
        <w:rPr>
          <w:bCs/>
          <w:color w:val="333399"/>
        </w:rPr>
        <w:t>Northwest Pipeline’s changes providing for sharing of lateral facilities costs between shipper and third-party shipper requesting service, RP01-416</w:t>
      </w:r>
    </w:p>
    <w:p>
      <w:pPr>
        <w:pStyle w:val="Header"/>
        <w:numPr>
          <w:ilvl w:val="1"/>
          <w:numId w:val="1"/>
        </w:numPr>
        <w:tabs>
          <w:tab w:val="clear" w:pos="4320"/>
          <w:tab w:val="clear" w:pos="8640"/>
          <w:tab w:val="left" w:pos="1080" w:leader="none"/>
        </w:tabs>
        <w:ind w:hanging="360" w:start="1080" w:end="0"/>
        <w:rPr>
          <w:bCs/>
          <w:color w:val="333399"/>
        </w:rPr>
      </w:pPr>
      <w:r>
        <w:rPr>
          <w:bCs/>
          <w:color w:val="333399"/>
        </w:rPr>
        <w:t>PG&amp;E Texas Pipeline’s application to provide firm service on 6,209 mile Texas pipeline system, PR00-9</w:t>
      </w:r>
    </w:p>
    <w:p>
      <w:pPr>
        <w:pStyle w:val="Header"/>
        <w:numPr>
          <w:ilvl w:val="1"/>
          <w:numId w:val="1"/>
        </w:numPr>
        <w:tabs>
          <w:tab w:val="clear" w:pos="4320"/>
          <w:tab w:val="clear" w:pos="8640"/>
          <w:tab w:val="left" w:pos="1080" w:leader="none"/>
        </w:tabs>
        <w:ind w:hanging="360" w:start="1080" w:end="0"/>
        <w:rPr>
          <w:bCs/>
          <w:color w:val="333399"/>
        </w:rPr>
      </w:pPr>
      <w:r>
        <w:rPr>
          <w:bCs/>
          <w:color w:val="333399"/>
        </w:rPr>
        <w:t>Texas Gas’ rehearing request to reconsider suspension period on changes to cash-out mechanism, RP01-278</w:t>
      </w:r>
    </w:p>
    <w:p>
      <w:pPr>
        <w:pStyle w:val="Header"/>
        <w:numPr>
          <w:ilvl w:val="1"/>
          <w:numId w:val="1"/>
        </w:numPr>
        <w:tabs>
          <w:tab w:val="clear" w:pos="4320"/>
          <w:tab w:val="clear" w:pos="8640"/>
          <w:tab w:val="left" w:pos="1080" w:leader="none"/>
        </w:tabs>
        <w:ind w:hanging="360" w:start="1080" w:end="0"/>
        <w:rPr>
          <w:bCs/>
          <w:color w:val="333399"/>
        </w:rPr>
      </w:pPr>
      <w:r>
        <w:rPr>
          <w:bCs/>
          <w:color w:val="333399"/>
        </w:rPr>
        <w:t>Vector Pipeline’s amended Presidential Permit requesting to be allowed to both import and export gas at Canadian border, CP98-131</w:t>
      </w:r>
    </w:p>
    <w:p>
      <w:pPr>
        <w:pStyle w:val="Header"/>
        <w:numPr>
          <w:ilvl w:val="1"/>
          <w:numId w:val="1"/>
        </w:numPr>
        <w:tabs>
          <w:tab w:val="clear" w:pos="4320"/>
          <w:tab w:val="clear" w:pos="8640"/>
          <w:tab w:val="left" w:pos="1080" w:leader="none"/>
        </w:tabs>
        <w:ind w:hanging="360" w:start="1080" w:end="0"/>
        <w:rPr>
          <w:bCs/>
          <w:color w:val="333399"/>
        </w:rPr>
      </w:pPr>
      <w:r>
        <w:rPr>
          <w:bCs/>
          <w:color w:val="333399"/>
        </w:rPr>
        <w:t xml:space="preserve">Transco’s rehearing request of initial order dismissing spin-down of all gathering facilities to Williams Gas Processing, CP96-206 </w:t>
      </w:r>
    </w:p>
    <w:p>
      <w:pPr>
        <w:pStyle w:val="Header"/>
        <w:numPr>
          <w:ilvl w:val="1"/>
          <w:numId w:val="1"/>
        </w:numPr>
        <w:tabs>
          <w:tab w:val="clear" w:pos="4320"/>
          <w:tab w:val="clear" w:pos="8640"/>
          <w:tab w:val="left" w:pos="1080" w:leader="none"/>
        </w:tabs>
        <w:ind w:hanging="360" w:start="1080" w:end="0"/>
        <w:rPr>
          <w:bCs/>
          <w:color w:val="333399"/>
        </w:rPr>
      </w:pPr>
      <w:r>
        <w:rPr>
          <w:bCs/>
          <w:color w:val="333399"/>
        </w:rPr>
        <w:t>Egan Hub’s request for expedited approval of abbreviated application for storage services, CP01-66 (expedited request was filed on June 1, 2001 after being stricken from the May 30, 2001 Commission agenda)</w:t>
      </w:r>
    </w:p>
    <w:p>
      <w:pPr>
        <w:pStyle w:val="Header"/>
        <w:tabs>
          <w:tab w:val="clear" w:pos="4320"/>
          <w:tab w:val="clear" w:pos="8640"/>
        </w:tabs>
        <w:rPr>
          <w:bCs/>
          <w:color w:val="333399"/>
        </w:rPr>
      </w:pPr>
      <w:r>
        <w:rPr>
          <w:bCs/>
          <w:color w:val="333399"/>
        </w:rPr>
      </w:r>
    </w:p>
    <w:p>
      <w:pPr>
        <w:pStyle w:val="Header"/>
        <w:tabs>
          <w:tab w:val="clear" w:pos="4320"/>
          <w:tab w:val="clear" w:pos="8640"/>
        </w:tabs>
        <w:rPr>
          <w:b/>
          <w:bCs/>
          <w:shadow/>
          <w:color w:val="333399"/>
        </w:rPr>
      </w:pPr>
      <w:r>
        <w:rPr>
          <w:b/>
          <w:bCs/>
          <w:shadow/>
          <w:color w:val="333399"/>
        </w:rPr>
      </w:r>
    </w:p>
    <w:p>
      <w:pPr>
        <w:pStyle w:val="Header"/>
        <w:tabs>
          <w:tab w:val="clear" w:pos="4320"/>
          <w:tab w:val="clear" w:pos="8640"/>
        </w:tabs>
        <w:jc w:val="center"/>
        <w:rPr>
          <w:b/>
          <w:shadow/>
          <w:color w:val="333399"/>
        </w:rPr>
      </w:pPr>
      <w:r>
        <w:rPr>
          <w:b/>
          <w:shadow/>
          <w:color w:val="333399"/>
        </w:rPr>
        <w:t>FERC Rulemaking</w:t>
      </w:r>
    </w:p>
    <w:p>
      <w:pPr>
        <w:pStyle w:val="Header"/>
        <w:tabs>
          <w:tab w:val="clear" w:pos="4320"/>
          <w:tab w:val="clear" w:pos="8640"/>
        </w:tabs>
        <w:rPr>
          <w:b/>
          <w:shadow/>
          <w:color w:val="333399"/>
        </w:rPr>
      </w:pPr>
      <w:r>
        <w:rPr>
          <w:b/>
          <w:shadow/>
          <w:color w:val="333399"/>
        </w:rPr>
      </w:r>
    </w:p>
    <w:p>
      <w:pPr>
        <w:pStyle w:val="Header"/>
        <w:numPr>
          <w:ilvl w:val="0"/>
          <w:numId w:val="1"/>
        </w:numPr>
        <w:tabs>
          <w:tab w:val="clear" w:pos="4320"/>
          <w:tab w:val="clear" w:pos="8640"/>
        </w:tabs>
        <w:rPr>
          <w:bCs/>
          <w:color w:val="333399"/>
        </w:rPr>
      </w:pPr>
      <w:r>
        <w:rPr>
          <w:b/>
          <w:color w:val="333399"/>
        </w:rPr>
        <w:t xml:space="preserve">Gas Research Institute, RP01-434. </w:t>
      </w:r>
      <w:r>
        <w:rPr>
          <w:bCs/>
          <w:color w:val="333399"/>
        </w:rPr>
        <w:t xml:space="preserve">GRI filed an application on June 1, 2001 requesting advance approval of its 2002-2006 Five-Year Research, Development and Demonstration Plan and the 2002 RD&amp;D Program and the funding for 2002 activities. GRI states all aspects of its proposed 2002 Program are consistent with the Settlement. GRI proposes to incur contract obligations of $60 million for 2002 to be used for Core Projects. GRI reports that there is a 2000 shortfall of $9.9 million that will be added to the 2002 surcharges and adjusted by 10% in accordance with the Settlement. GRI intends to fund the 2002 RD&amp;D program by the use of these surcharges: 1) demand/reservation surcharge of 6.6 cents per Dth per Month for high load factor customers; 2) demand/reservation surcharge of 4.07 cents per Dth per month for low load factor customers; 3) volumetric commodity/usage surcharge of 0.55 cents; and 4) special small customer surcharge of .88 cents per Dth. Staff will prepare a Commission Staff Report on GRI’s application that will be served on all parties on August 10, 2001. </w:t>
      </w:r>
      <w:r>
        <w:rPr>
          <w:b/>
          <w:i/>
          <w:iCs/>
          <w:color w:val="333399"/>
        </w:rPr>
        <w:t xml:space="preserve">Comments on the Staff Report and GRI’s application must be filed by August 24, 2001. </w:t>
      </w:r>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i/>
          <w:iCs/>
          <w:color w:val="333399"/>
        </w:rPr>
        <w:t>Electric</w:t>
      </w:r>
      <w:r>
        <w:rPr>
          <w:bCs/>
          <w:color w:val="333399"/>
        </w:rPr>
        <w:t xml:space="preserve">. </w:t>
      </w:r>
      <w:r>
        <w:rPr>
          <w:b/>
          <w:color w:val="333399"/>
        </w:rPr>
        <w:t xml:space="preserve">Open Access Same-time Information System (OASIS) and Standards of Conduct, RM95-9-013. </w:t>
      </w:r>
      <w:r>
        <w:rPr>
          <w:bCs/>
          <w:color w:val="333399"/>
        </w:rPr>
        <w:t xml:space="preserve">On June 5, 2001, FERC issued a Notice of Filing and Request for Comments in this proceeding requested by the Market Interface Committee of the North American Electric Reliability Council. The purpose is to request comment on a proposed new business practice standard dealing with accepted firm daily point-to-point transmission service. Comments are due June 30, 2001. </w:t>
      </w:r>
    </w:p>
    <w:p>
      <w:pPr>
        <w:pStyle w:val="Header"/>
        <w:tabs>
          <w:tab w:val="clear" w:pos="4320"/>
          <w:tab w:val="clear" w:pos="8640"/>
        </w:tabs>
        <w:rPr>
          <w:bCs/>
          <w:color w:val="333399"/>
        </w:rPr>
      </w:pPr>
      <w:r>
        <w:rPr>
          <w:bCs/>
          <w:color w:val="333399"/>
        </w:rPr>
      </w:r>
    </w:p>
    <w:p>
      <w:pPr>
        <w:pStyle w:val="Header"/>
        <w:tabs>
          <w:tab w:val="clear" w:pos="4320"/>
          <w:tab w:val="clear" w:pos="8640"/>
        </w:tabs>
        <w:jc w:val="center"/>
        <w:rPr>
          <w:b/>
          <w:shadow/>
          <w:color w:val="333399"/>
        </w:rPr>
      </w:pPr>
      <w:r>
        <w:rPr>
          <w:b/>
          <w:shadow/>
          <w:color w:val="333399"/>
        </w:rPr>
        <w:t>ETS Related Orders/Filings</w:t>
      </w:r>
    </w:p>
    <w:p>
      <w:pPr>
        <w:pStyle w:val="Header"/>
        <w:tabs>
          <w:tab w:val="clear" w:pos="4320"/>
          <w:tab w:val="clear" w:pos="8640"/>
        </w:tabs>
        <w:rPr>
          <w:b/>
          <w:shadow/>
          <w:color w:val="333399"/>
        </w:rPr>
      </w:pPr>
      <w:r>
        <w:rPr>
          <w:b/>
          <w:shadow/>
          <w:color w:val="333399"/>
        </w:rPr>
      </w:r>
    </w:p>
    <w:p>
      <w:pPr>
        <w:pStyle w:val="Header"/>
        <w:numPr>
          <w:ilvl w:val="0"/>
          <w:numId w:val="1"/>
        </w:numPr>
        <w:tabs>
          <w:tab w:val="clear" w:pos="4320"/>
          <w:tab w:val="clear" w:pos="8640"/>
        </w:tabs>
        <w:rPr>
          <w:bCs/>
          <w:color w:val="333399"/>
        </w:rPr>
      </w:pPr>
      <w:r>
        <w:rPr>
          <w:bCs/>
          <w:color w:val="333399"/>
        </w:rPr>
        <w:t>Northern Border</w:t>
      </w:r>
    </w:p>
    <w:p>
      <w:pPr>
        <w:pStyle w:val="Header"/>
        <w:numPr>
          <w:ilvl w:val="1"/>
          <w:numId w:val="1"/>
        </w:numPr>
        <w:tabs>
          <w:tab w:val="clear" w:pos="4320"/>
          <w:tab w:val="clear" w:pos="8640"/>
          <w:tab w:val="left" w:pos="1080" w:leader="none"/>
        </w:tabs>
        <w:ind w:hanging="360" w:start="1080" w:end="0"/>
        <w:rPr>
          <w:bCs/>
          <w:color w:val="333399"/>
        </w:rPr>
      </w:pPr>
      <w:r>
        <w:rPr>
          <w:bCs/>
          <w:color w:val="333399"/>
        </w:rPr>
        <w:t xml:space="preserve"> </w:t>
      </w:r>
      <w:r>
        <w:rPr>
          <w:bCs/>
          <w:color w:val="333399"/>
        </w:rPr>
        <w:t>Noticed compliance filing which incorporates a five-year cap on matching negotiated rate bids for ROFR capacity, clarification of how negotiated rate bids will be evaluated and establishes separate and identifiable accounts for negotiated rate transactions. RP01-377</w:t>
      </w:r>
    </w:p>
    <w:p>
      <w:pPr>
        <w:pStyle w:val="Header"/>
        <w:numPr>
          <w:ilvl w:val="0"/>
          <w:numId w:val="1"/>
        </w:numPr>
        <w:tabs>
          <w:tab w:val="clear" w:pos="4320"/>
          <w:tab w:val="clear" w:pos="8640"/>
        </w:tabs>
        <w:rPr>
          <w:bCs/>
          <w:color w:val="333399"/>
        </w:rPr>
      </w:pPr>
      <w:r>
        <w:rPr>
          <w:bCs/>
          <w:color w:val="333399"/>
        </w:rPr>
        <w:t>Northern Natural</w:t>
      </w:r>
    </w:p>
    <w:p>
      <w:pPr>
        <w:pStyle w:val="Header"/>
        <w:numPr>
          <w:ilvl w:val="1"/>
          <w:numId w:val="1"/>
        </w:numPr>
        <w:tabs>
          <w:tab w:val="clear" w:pos="4320"/>
          <w:tab w:val="clear" w:pos="8640"/>
          <w:tab w:val="left" w:pos="1080" w:leader="none"/>
        </w:tabs>
        <w:ind w:hanging="360" w:start="1080" w:end="0"/>
        <w:rPr>
          <w:bCs/>
          <w:color w:val="333399"/>
        </w:rPr>
      </w:pPr>
      <w:r>
        <w:rPr>
          <w:bCs/>
          <w:color w:val="333399"/>
        </w:rPr>
        <w:t>Noticed negotiated rate filing for WPS Energy Services, RP96-272-031</w:t>
      </w:r>
    </w:p>
    <w:p>
      <w:pPr>
        <w:pStyle w:val="Header"/>
        <w:numPr>
          <w:ilvl w:val="1"/>
          <w:numId w:val="1"/>
        </w:numPr>
        <w:tabs>
          <w:tab w:val="clear" w:pos="4320"/>
          <w:tab w:val="clear" w:pos="8640"/>
          <w:tab w:val="left" w:pos="1080" w:leader="none"/>
        </w:tabs>
        <w:ind w:hanging="360" w:start="1080" w:end="0"/>
        <w:rPr>
          <w:bCs/>
          <w:color w:val="333399"/>
        </w:rPr>
      </w:pPr>
      <w:r>
        <w:rPr>
          <w:bCs/>
          <w:color w:val="333399"/>
        </w:rPr>
        <w:t>Technical conference for June 26 to discuss fuel adjustments, RP01-395</w:t>
      </w:r>
    </w:p>
    <w:p>
      <w:pPr>
        <w:pStyle w:val="Header"/>
        <w:numPr>
          <w:ilvl w:val="1"/>
          <w:numId w:val="1"/>
        </w:numPr>
        <w:tabs>
          <w:tab w:val="clear" w:pos="4320"/>
          <w:tab w:val="clear" w:pos="8640"/>
          <w:tab w:val="left" w:pos="1080" w:leader="none"/>
        </w:tabs>
        <w:ind w:hanging="360" w:start="1080" w:end="0"/>
        <w:rPr>
          <w:bCs/>
          <w:color w:val="333399"/>
        </w:rPr>
      </w:pPr>
      <w:r>
        <w:rPr>
          <w:bCs/>
          <w:color w:val="333399"/>
        </w:rPr>
        <w:t>Grants abandonment of five compressor units at Mullinville Compressor Station in Kansas, CP01-175</w:t>
      </w:r>
    </w:p>
    <w:p>
      <w:pPr>
        <w:pStyle w:val="Header"/>
        <w:numPr>
          <w:ilvl w:val="1"/>
          <w:numId w:val="1"/>
        </w:numPr>
        <w:tabs>
          <w:tab w:val="clear" w:pos="4320"/>
          <w:tab w:val="clear" w:pos="8640"/>
          <w:tab w:val="left" w:pos="1080" w:leader="none"/>
        </w:tabs>
        <w:ind w:hanging="360" w:start="1080" w:end="0"/>
        <w:rPr>
          <w:bCs/>
          <w:color w:val="333399"/>
        </w:rPr>
      </w:pPr>
      <w:r>
        <w:rPr>
          <w:bCs/>
          <w:color w:val="333399"/>
        </w:rPr>
        <w:t>Accepted cancellation of several individually certificated transportation/exchange agreements, GT01-24</w:t>
      </w:r>
    </w:p>
    <w:p>
      <w:pPr>
        <w:pStyle w:val="Header"/>
        <w:numPr>
          <w:ilvl w:val="0"/>
          <w:numId w:val="1"/>
        </w:numPr>
        <w:tabs>
          <w:tab w:val="clear" w:pos="4320"/>
          <w:tab w:val="clear" w:pos="8640"/>
        </w:tabs>
        <w:rPr>
          <w:bCs/>
          <w:color w:val="333399"/>
        </w:rPr>
      </w:pPr>
      <w:r>
        <w:rPr>
          <w:bCs/>
          <w:color w:val="333399"/>
        </w:rPr>
        <w:t>Transwestern</w:t>
      </w:r>
    </w:p>
    <w:p>
      <w:pPr>
        <w:pStyle w:val="Header"/>
        <w:numPr>
          <w:ilvl w:val="0"/>
          <w:numId w:val="2"/>
        </w:numPr>
        <w:tabs>
          <w:tab w:val="clear" w:pos="4320"/>
          <w:tab w:val="clear" w:pos="8640"/>
          <w:tab w:val="left" w:pos="1080" w:leader="none"/>
        </w:tabs>
        <w:ind w:hanging="360" w:start="1080" w:end="0"/>
        <w:rPr>
          <w:bCs/>
          <w:color w:val="333399"/>
        </w:rPr>
      </w:pPr>
      <w:r>
        <w:rPr>
          <w:bCs/>
          <w:color w:val="333399"/>
        </w:rPr>
        <w:t>Vacated order issued December 22, 1998 as requested by TW that had requested authorization to sell Lipscomb Mocane and Leedy Laterals to KN Interstate. The sale was never completed. CP98-233</w:t>
      </w:r>
    </w:p>
    <w:p>
      <w:pPr>
        <w:pStyle w:val="Header"/>
        <w:tabs>
          <w:tab w:val="clear" w:pos="4320"/>
          <w:tab w:val="clear" w:pos="8640"/>
        </w:tabs>
        <w:rPr>
          <w:bCs/>
          <w:color w:val="333399"/>
        </w:rPr>
      </w:pPr>
      <w:r>
        <w:rPr>
          <w:bCs/>
          <w:color w:val="333399"/>
        </w:rPr>
      </w:r>
    </w:p>
    <w:p>
      <w:pPr>
        <w:pStyle w:val="Header"/>
        <w:tabs>
          <w:tab w:val="clear" w:pos="4320"/>
          <w:tab w:val="clear" w:pos="8640"/>
        </w:tabs>
        <w:rPr>
          <w:bCs/>
          <w:shadow/>
          <w:color w:val="333399"/>
        </w:rPr>
      </w:pPr>
      <w:r>
        <w:rPr>
          <w:bCs/>
          <w:shadow/>
          <w:color w:val="333399"/>
        </w:rPr>
      </w:r>
    </w:p>
    <w:p>
      <w:pPr>
        <w:pStyle w:val="Header"/>
        <w:tabs>
          <w:tab w:val="clear" w:pos="4320"/>
          <w:tab w:val="clear" w:pos="8640"/>
        </w:tabs>
        <w:jc w:val="center"/>
        <w:rPr>
          <w:b/>
          <w:shadow/>
          <w:color w:val="333399"/>
        </w:rPr>
      </w:pPr>
      <w:r>
        <w:rPr>
          <w:b/>
          <w:shadow/>
          <w:color w:val="333399"/>
        </w:rPr>
        <w:t>Specific FERC Cases</w:t>
      </w:r>
    </w:p>
    <w:p>
      <w:pPr>
        <w:pStyle w:val="Header"/>
        <w:tabs>
          <w:tab w:val="clear" w:pos="4320"/>
          <w:tab w:val="clear" w:pos="8640"/>
        </w:tabs>
        <w:rPr>
          <w:b/>
          <w:shadow/>
          <w:color w:val="333399"/>
        </w:rPr>
      </w:pPr>
      <w:r>
        <w:rPr>
          <w:b/>
          <w:shadow/>
          <w:color w:val="333399"/>
        </w:rPr>
      </w:r>
    </w:p>
    <w:p>
      <w:pPr>
        <w:pStyle w:val="Header"/>
        <w:numPr>
          <w:ilvl w:val="0"/>
          <w:numId w:val="1"/>
        </w:numPr>
        <w:tabs>
          <w:tab w:val="clear" w:pos="4320"/>
          <w:tab w:val="clear" w:pos="8640"/>
        </w:tabs>
        <w:rPr>
          <w:bCs/>
          <w:color w:val="333399"/>
        </w:rPr>
      </w:pPr>
      <w:r>
        <w:rPr>
          <w:b/>
          <w:color w:val="333399"/>
        </w:rPr>
        <w:t xml:space="preserve">Southern Natural Gas Order Rejects Systems Benefits Test, Accepts Economic Test. </w:t>
      </w:r>
      <w:r>
        <w:rPr>
          <w:bCs/>
          <w:color w:val="333399"/>
        </w:rPr>
        <w:t xml:space="preserve">In an order issued June 4, FERC rejects Southern’s compliance filing proposing the systems benefits test that Southern applies to determine whether it will pay construction costs and under what conditions it will pay contribution in aid of construction (CIAC). Accordingly, Southern is directed to revise its filing following the new interconnection policy (Order on Remand, 91 FERC 61,142 (2000)). FERC states Southern must grant access for an interconnection facility or may deny the request on specific grounds, e.g. when the shipper is willing to pay when the proposed facilities adversely affect the pipeline’s operations; or the interconnection diminishes service to existing customers; or places Southern in violation of law. Southern must modify its tariff sheets accordingly. Interestingly, FERC did approve Southern’s imposition of an economic test in cases where Southern agrees to construct the interconnection but requires a shipper to commit to additional service to cover such cost of service related to the new facilities </w:t>
      </w:r>
      <w:r>
        <w:rPr>
          <w:bCs/>
          <w:color w:val="333399"/>
          <w:u w:val="single"/>
        </w:rPr>
        <w:t>for at least ten years</w:t>
      </w:r>
      <w:r>
        <w:rPr>
          <w:bCs/>
          <w:color w:val="333399"/>
        </w:rPr>
        <w:t xml:space="preserve">. No extension is required if the new service agreement covers the cost of the new facilities. Those opposed to the requirements argue that Southern is using an “unreasonable exertion of monopoly power” over captive customers.  FERC disagrees and states it is acceptable for Southern to negotiate service agreement extensions necessary to meet construction costs. </w:t>
      </w:r>
      <w:hyperlink r:id="rId3">
        <w:r>
          <w:rPr>
            <w:rStyle w:val="Hyperlink"/>
            <w:bCs/>
          </w:rPr>
          <w:t>RP99-159</w:t>
        </w:r>
      </w:hyperlink>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Algonquin Gas Files Tariff Modification to Permit Electronic Contracting. </w:t>
      </w:r>
      <w:r>
        <w:rPr>
          <w:bCs/>
          <w:color w:val="333399"/>
        </w:rPr>
        <w:t xml:space="preserve">Algonquin has filed revisions to its tariff to permit customers to electronically request service and execute service agreements via its LINK system. These revisions are similar to a Texas Eastern proposal that FERC has accepted (94 FERC 612,003 (2001). Algonquin proposes to make the Service Request Form available on its web site for requesting new service; will provide online an Executable Contract Summary that contains contract specific terms; and proposes to reduce the time for a customer to execute and return a contract from 30 days to 15 days. </w:t>
      </w:r>
      <w:r>
        <w:rPr>
          <w:bCs/>
          <w:i/>
          <w:iCs/>
          <w:color w:val="333399"/>
        </w:rPr>
        <w:t xml:space="preserve">Note: </w:t>
      </w:r>
      <w:r>
        <w:rPr>
          <w:bCs/>
          <w:color w:val="333399"/>
        </w:rPr>
        <w:t xml:space="preserve">we are working on permitting electronically requested service and the appropriate language changes and contract changes to the tariff for our pipelines. </w:t>
      </w:r>
      <w:hyperlink r:id="rId4">
        <w:r>
          <w:rPr>
            <w:rStyle w:val="Hyperlink"/>
            <w:bCs/>
          </w:rPr>
          <w:t>RP01-412</w:t>
        </w:r>
      </w:hyperlink>
    </w:p>
    <w:p>
      <w:pPr>
        <w:pStyle w:val="Header"/>
        <w:tabs>
          <w:tab w:val="clear" w:pos="4320"/>
          <w:tab w:val="clear" w:pos="8640"/>
        </w:tabs>
        <w:rPr>
          <w:bCs/>
          <w:color w:val="333399"/>
        </w:rPr>
      </w:pPr>
      <w:r>
        <w:rPr>
          <w:bCs/>
          <w:color w:val="333399"/>
        </w:rPr>
      </w:r>
    </w:p>
    <w:p>
      <w:pPr>
        <w:pStyle w:val="Header"/>
        <w:tabs>
          <w:tab w:val="clear" w:pos="4320"/>
          <w:tab w:val="clear" w:pos="8640"/>
        </w:tabs>
        <w:ind w:start="720" w:end="0"/>
        <w:rPr/>
      </w:pPr>
      <w:r>
        <w:rPr>
          <w:b/>
          <w:i/>
          <w:iCs/>
          <w:color w:val="333399"/>
        </w:rPr>
        <w:t xml:space="preserve">Note: </w:t>
      </w:r>
      <w:r>
        <w:rPr>
          <w:bCs/>
          <w:color w:val="333399"/>
        </w:rPr>
        <w:t>FERC also approved tariff modification filed by East Tennessee, RP01-413</w:t>
      </w:r>
    </w:p>
    <w:p>
      <w:pPr>
        <w:pStyle w:val="Header"/>
        <w:tabs>
          <w:tab w:val="clear" w:pos="4320"/>
          <w:tab w:val="clear" w:pos="8640"/>
        </w:tabs>
        <w:ind w:start="720" w:end="0"/>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Kern River Petitions For Declaratory Order Addressing Capacity Commitments. </w:t>
      </w:r>
      <w:r>
        <w:rPr>
          <w:bCs/>
          <w:color w:val="333399"/>
        </w:rPr>
        <w:t xml:space="preserve">FERC authorized Kern River to construct its California Action Project in April 2001 increasing capacity by 135,000 Mcf. SoCalGas asserts that according to a settlement agreement of June 15, 1989, Kern River is obligated to provide written notice of intent to add capacity and notify SoCalGas of the amount of capacity available after it has awarded any capacity to Enhanced Oil Recovery and cogeneration shippers who were granted prior rights under settlement. After notice is given, SoCalGas states it must be given 30 days to evaluate whether it wants to contract for such capacity. Had SoCalGas been given the opportunity, it would have elected all the capacity in the California Action Project. SoCalGas inquires as to how Kern River will comply with settlement obligations. Kern River requests FERC to declare that Kern River has no obligations under the 1989 settlement. </w:t>
      </w:r>
      <w:hyperlink r:id="rId5">
        <w:r>
          <w:rPr>
            <w:rStyle w:val="Hyperlink"/>
            <w:bCs/>
          </w:rPr>
          <w:t>CP01-381</w:t>
        </w:r>
      </w:hyperlink>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Eastern Shore Issued Certificate. </w:t>
      </w:r>
      <w:r>
        <w:rPr>
          <w:bCs/>
          <w:color w:val="333399"/>
        </w:rPr>
        <w:t xml:space="preserve">On June 4, 2001 FERC issued a certificate to Eastern Shore looping facilities known as the 2001 System Expansion. The facilities will add 19,800 Dth/d of new capacity for the Maryland and Pennsylvania regions. Shippers have executed precedent agreements for terms of 10 years. </w:t>
      </w:r>
      <w:hyperlink r:id="rId6">
        <w:r>
          <w:rPr>
            <w:rStyle w:val="Hyperlink"/>
            <w:bCs/>
          </w:rPr>
          <w:t>CP01-65</w:t>
        </w:r>
      </w:hyperlink>
    </w:p>
    <w:p>
      <w:pPr>
        <w:pStyle w:val="Header"/>
        <w:tabs>
          <w:tab w:val="clear" w:pos="4320"/>
          <w:tab w:val="clear" w:pos="8640"/>
        </w:tabs>
        <w:rPr>
          <w:bCs/>
          <w:color w:val="333399"/>
        </w:rPr>
      </w:pPr>
      <w:r>
        <w:rPr>
          <w:bCs/>
          <w:color w:val="333399"/>
        </w:rPr>
      </w:r>
    </w:p>
    <w:p>
      <w:pPr>
        <w:pStyle w:val="Header"/>
        <w:tabs>
          <w:tab w:val="clear" w:pos="4320"/>
          <w:tab w:val="clear" w:pos="8640"/>
        </w:tabs>
        <w:jc w:val="center"/>
        <w:rPr>
          <w:b/>
          <w:shadow/>
          <w:color w:val="333399"/>
        </w:rPr>
      </w:pPr>
      <w:r>
        <w:rPr>
          <w:b/>
          <w:shadow/>
          <w:color w:val="333399"/>
        </w:rPr>
        <w:t>Electric Matters</w:t>
      </w:r>
    </w:p>
    <w:p>
      <w:pPr>
        <w:pStyle w:val="Header"/>
        <w:tabs>
          <w:tab w:val="clear" w:pos="4320"/>
          <w:tab w:val="clear" w:pos="8640"/>
        </w:tabs>
        <w:rPr>
          <w:b/>
          <w:shadow/>
          <w:color w:val="333399"/>
        </w:rPr>
      </w:pPr>
      <w:r>
        <w:rPr>
          <w:b/>
          <w:shadow/>
          <w:color w:val="333399"/>
        </w:rPr>
      </w:r>
    </w:p>
    <w:p>
      <w:pPr>
        <w:pStyle w:val="Header"/>
        <w:numPr>
          <w:ilvl w:val="0"/>
          <w:numId w:val="1"/>
        </w:numPr>
        <w:tabs>
          <w:tab w:val="clear" w:pos="4320"/>
          <w:tab w:val="clear" w:pos="8640"/>
        </w:tabs>
        <w:rPr>
          <w:bCs/>
          <w:color w:val="333399"/>
        </w:rPr>
      </w:pPr>
      <w:r>
        <w:rPr>
          <w:b/>
          <w:color w:val="333399"/>
        </w:rPr>
        <w:t xml:space="preserve">Reliant Energy Files Emergency Request For FERC To Reconsider Price-Mitigation Directive. </w:t>
      </w:r>
      <w:r>
        <w:rPr>
          <w:bCs/>
          <w:color w:val="333399"/>
        </w:rPr>
        <w:t xml:space="preserve">In April, FERC issued an order approving a price mitigation plan during reserve emergencies declared in California. As the price mitigation took effect last week, problems surfaced. The plan gives no recognition to the recovery of capital and fixed costs of power generators in California. Reliant finds this plan imposes “below-cost price caps on many California generators.” Additionally, Reliant charges that the California ISO is improperly carrying out FERC directives when establishing proxy power price during emergencies under this plan. Cal-ISO is to establish a single-market clearing price for real-time transactions during reserve deficiencies – price to be limited to the marginal cost of the highest-cost generator called upon during the emergency. FERC directed Cal-ISO to calculate the marginal cost (prescribed in order) plus $2 added for O&amp;M expenses. Under the declared emergencies on May 30, the market-clearing price calculated by Cal-ISO dropped precipitously – well below Reliant’s variable cost-based bid price. </w:t>
      </w:r>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PJM Interconnection Plans Second Expansion. </w:t>
      </w:r>
      <w:r>
        <w:rPr>
          <w:bCs/>
          <w:color w:val="333399"/>
        </w:rPr>
        <w:t>The board of managers for PJM has approved the second expansion to provide $420 million of transmission facility additions and reinforcements for the region. The board approved the first regional transmission expansion plan in August 2000. The two phases of the plan will accommodate more than 27,500 MW of new generating capacity within the PJM region.</w:t>
      </w:r>
    </w:p>
    <w:p>
      <w:pPr>
        <w:pStyle w:val="Header"/>
        <w:tabs>
          <w:tab w:val="clear" w:pos="4320"/>
          <w:tab w:val="clear" w:pos="8640"/>
        </w:tabs>
        <w:rPr>
          <w:bCs/>
          <w:color w:val="333399"/>
        </w:rPr>
      </w:pPr>
      <w:r>
        <w:rPr>
          <w:bCs/>
          <w:color w:val="333399"/>
        </w:rPr>
      </w:r>
    </w:p>
    <w:p>
      <w:pPr>
        <w:pStyle w:val="Header"/>
        <w:numPr>
          <w:ilvl w:val="0"/>
          <w:numId w:val="1"/>
        </w:numPr>
        <w:tabs>
          <w:tab w:val="clear" w:pos="4320"/>
          <w:tab w:val="clear" w:pos="8640"/>
        </w:tabs>
        <w:rPr>
          <w:bCs/>
          <w:color w:val="333399"/>
        </w:rPr>
      </w:pPr>
      <w:r>
        <w:rPr>
          <w:b/>
          <w:color w:val="333399"/>
        </w:rPr>
        <w:t xml:space="preserve">AES Discloses Justice Department Review of Alleged Market Manipulation in California. </w:t>
      </w:r>
      <w:r>
        <w:rPr>
          <w:bCs/>
          <w:color w:val="333399"/>
        </w:rPr>
        <w:t>AES has disclosed in a filing with the Securities and Exchange Commission that Williams Energy Services and Southland LLC are being reviewed by the Justice Department on allegations that attempts were made to artificially drive up electricity prices in California. (In April, Williams agreed to pay $8 million to settle an enforcement proceeding suggesting the company had manipulated the market to drive up prices.) Neither company admits to engaging in wrongdoing.</w:t>
      </w:r>
    </w:p>
    <w:p>
      <w:pPr>
        <w:pStyle w:val="Header"/>
        <w:tabs>
          <w:tab w:val="clear" w:pos="4320"/>
          <w:tab w:val="clear" w:pos="8640"/>
        </w:tabs>
        <w:rPr>
          <w:b/>
          <w:bCs/>
          <w:color w:val="333399"/>
        </w:rPr>
      </w:pPr>
      <w:r>
        <w:rPr>
          <w:b/>
          <w:bCs/>
          <w:color w:val="333399"/>
        </w:rPr>
      </w:r>
    </w:p>
    <w:sectPr>
      <w:footerReference w:type="default" r:id="rId7"/>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June-08.doc</w:t>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2z1">
    <w:name w:val="WW8Num2z1"/>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7z0">
    <w:name w:val="WW8Num7z0"/>
    <w:qFormat/>
    <w:rPr>
      <w:rFonts w:ascii="Wingdings" w:hAnsi="Wingdings" w:cs="Wingdings"/>
    </w:rPr>
  </w:style>
  <w:style w:type="character" w:styleId="WW8Num7z1">
    <w:name w:val="WW8Num7z1"/>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ferc.gov/public/isd/sunshine.htm" TargetMode="External"/><Relationship Id="rId3" Type="http://schemas.openxmlformats.org/officeDocument/2006/relationships/hyperlink" Target="http://cips.ferc.fed.us/Q/CIPS/GAS/RP/RP99-159.00C.TXT" TargetMode="External"/><Relationship Id="rId4" Type="http://schemas.openxmlformats.org/officeDocument/2006/relationships/hyperlink" Target="http://cips.ferc.fed.us/Q/CIPS/GAS/RP/RP01-412.00A.TXT" TargetMode="External"/><Relationship Id="rId5" Type="http://schemas.openxmlformats.org/officeDocument/2006/relationships/hyperlink" Target="http://cips.ferc.fed.us/Q/CIPS/GAS/CP/CP01-381.000.TXT" TargetMode="External"/><Relationship Id="rId6" Type="http://schemas.openxmlformats.org/officeDocument/2006/relationships/hyperlink" Target="http://cips.ferc.fed.us/Q/CIPS/GAS/CP/CP01-65.00E.TXT" TargetMode="Externa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2001-06-08T13:15:00Z</dcterms:created>
  <dc:creator>jbutler</dc:creator>
  <dc:description/>
  <dc:language>en-CA</dc:language>
  <cp:lastModifiedBy>jbutler</cp:lastModifiedBy>
  <cp:lastPrinted>2001-06-08T15:36:00Z</cp:lastPrinted>
  <dcterms:modified xsi:type="dcterms:W3CDTF">2001-06-08T18:20:00Z</dcterms:modified>
  <cp:revision>11</cp:revision>
  <dc:subject/>
  <dc:title>General FERC Matters</dc:title>
</cp:coreProperties>
</file>