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jc w:val="center"/>
        <w:rPr>
          <w:color w:val="333399"/>
        </w:rPr>
      </w:pPr>
      <w:r>
        <w:rPr>
          <w:color w:val="333399"/>
        </w:rPr>
      </w:r>
    </w:p>
    <w:p>
      <w:pPr>
        <w:pStyle w:val="Header"/>
        <w:tabs>
          <w:tab w:val="clear" w:pos="4320"/>
          <w:tab w:val="clear" w:pos="8640"/>
        </w:tabs>
        <w:jc w:val="center"/>
        <w:rPr>
          <w:color w:val="333399"/>
        </w:rPr>
      </w:pPr>
      <w:r>
        <w:rPr>
          <w:color w:val="333399"/>
        </w:rPr>
      </w:r>
    </w:p>
    <w:p>
      <w:pPr>
        <w:pStyle w:val="Header"/>
        <w:tabs>
          <w:tab w:val="clear" w:pos="4320"/>
          <w:tab w:val="clear" w:pos="8640"/>
        </w:tabs>
        <w:rPr>
          <w:b/>
          <w:shadow/>
          <w:color w:val="333399"/>
        </w:rPr>
      </w:pPr>
      <w:r>
        <w:rPr>
          <w:bCs/>
          <w:color w:val="333399"/>
        </w:rPr>
        <w:t xml:space="preserve"> </w:t>
      </w:r>
    </w:p>
    <w:p>
      <w:pPr>
        <w:pStyle w:val="Header"/>
        <w:tabs>
          <w:tab w:val="clear" w:pos="4320"/>
          <w:tab w:val="clear" w:pos="8640"/>
        </w:tabs>
        <w:jc w:val="center"/>
        <w:rPr>
          <w:b/>
          <w:shadow/>
          <w:color w:val="333399"/>
        </w:rPr>
      </w:pPr>
      <w:r>
        <w:rPr>
          <w:b/>
          <w:shadow/>
          <w:color w:val="333399"/>
        </w:rPr>
        <w:t>General FERC Matters</w:t>
      </w:r>
    </w:p>
    <w:p>
      <w:pPr>
        <w:pStyle w:val="Header"/>
        <w:tabs>
          <w:tab w:val="clear" w:pos="4320"/>
          <w:tab w:val="clear" w:pos="8640"/>
        </w:tabs>
        <w:jc w:val="center"/>
        <w:rPr>
          <w:b/>
          <w:shadow/>
          <w:color w:val="333399"/>
        </w:rPr>
      </w:pPr>
      <w:r>
        <w:rPr>
          <w:b/>
          <w:shadow/>
          <w:color w:val="333399"/>
        </w:rPr>
      </w:r>
    </w:p>
    <w:p>
      <w:pPr>
        <w:pStyle w:val="Header"/>
        <w:numPr>
          <w:ilvl w:val="0"/>
          <w:numId w:val="1"/>
        </w:numPr>
        <w:tabs>
          <w:tab w:val="clear" w:pos="4320"/>
          <w:tab w:val="clear" w:pos="8640"/>
        </w:tabs>
        <w:rPr>
          <w:bCs/>
          <w:color w:val="333399"/>
        </w:rPr>
      </w:pPr>
      <w:r>
        <w:rPr>
          <w:b/>
          <w:color w:val="333399"/>
        </w:rPr>
        <w:t xml:space="preserve">FERC Divided on Market Power Review. </w:t>
      </w:r>
      <w:r>
        <w:rPr>
          <w:bCs/>
          <w:color w:val="333399"/>
        </w:rPr>
        <w:t xml:space="preserve">During the public meeting Wednesday, Commissioner Massey proposed a generic inquiry into improving the standards used in determining whether market power issues are at play, claiming that the current method of hub and spoke analysis is outdated. The two orders issued in Sierra Southwest Services and Exelon Generation dockets, in which Massey dissents, involve market-based rates that brings this issue to the floor.   FERC cannot make a reasoned decision whether there can be exercise of market power using this outdated methodology. Massey proposes an inquiry that considers market concentration, adequate demand responsiveness and whether any market rules create impediments to market participants. Conversely, Hebert and Breathitt supported FERC’s current approach. </w:t>
      </w:r>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FERC To Convene RTO Conference Soon. </w:t>
      </w:r>
      <w:r>
        <w:rPr>
          <w:bCs/>
          <w:color w:val="333399"/>
        </w:rPr>
        <w:t xml:space="preserve">FERC will convene a conference to examine issues pertaining to the formations of RTOs. Although details are not available yet, the conference may be scheduled as early as this month. Some issues that will probably be on the agenda are: scope and configuration issues, seams and interregional cooperation. </w:t>
      </w:r>
    </w:p>
    <w:p>
      <w:pPr>
        <w:pStyle w:val="Header"/>
        <w:tabs>
          <w:tab w:val="clear" w:pos="4320"/>
          <w:tab w:val="clear" w:pos="8640"/>
        </w:tabs>
        <w:rPr>
          <w:bCs/>
          <w:color w:val="333399"/>
        </w:rPr>
      </w:pPr>
      <w:r>
        <w:rPr>
          <w:bCs/>
          <w:color w:val="333399"/>
        </w:rPr>
      </w:r>
    </w:p>
    <w:p>
      <w:pPr>
        <w:pStyle w:val="Header"/>
        <w:tabs>
          <w:tab w:val="clear" w:pos="4320"/>
          <w:tab w:val="clear" w:pos="8640"/>
        </w:tabs>
        <w:jc w:val="center"/>
        <w:rPr>
          <w:b/>
          <w:shadow/>
          <w:color w:val="333399"/>
        </w:rPr>
      </w:pPr>
      <w:r>
        <w:rPr>
          <w:b/>
          <w:shadow/>
          <w:color w:val="333399"/>
        </w:rPr>
        <w:t>ETS Related Orders/Filings</w:t>
      </w:r>
    </w:p>
    <w:p>
      <w:pPr>
        <w:pStyle w:val="Header"/>
        <w:tabs>
          <w:tab w:val="clear" w:pos="4320"/>
          <w:tab w:val="clear" w:pos="8640"/>
        </w:tabs>
        <w:rPr>
          <w:b/>
          <w:shadow/>
          <w:color w:val="333399"/>
        </w:rPr>
      </w:pPr>
      <w:r>
        <w:rPr>
          <w:b/>
          <w:shadow/>
          <w:color w:val="333399"/>
        </w:rPr>
      </w:r>
    </w:p>
    <w:p>
      <w:pPr>
        <w:pStyle w:val="Header"/>
        <w:numPr>
          <w:ilvl w:val="0"/>
          <w:numId w:val="1"/>
        </w:numPr>
        <w:tabs>
          <w:tab w:val="clear" w:pos="4320"/>
          <w:tab w:val="clear" w:pos="8640"/>
        </w:tabs>
        <w:rPr>
          <w:bCs/>
          <w:color w:val="333399"/>
        </w:rPr>
      </w:pPr>
      <w:r>
        <w:rPr>
          <w:bCs/>
          <w:color w:val="333399"/>
        </w:rPr>
        <w:t>Florida Gas</w:t>
      </w:r>
    </w:p>
    <w:p>
      <w:pPr>
        <w:pStyle w:val="Header"/>
        <w:numPr>
          <w:ilvl w:val="1"/>
          <w:numId w:val="1"/>
        </w:numPr>
        <w:tabs>
          <w:tab w:val="clear" w:pos="4320"/>
          <w:tab w:val="clear" w:pos="8640"/>
          <w:tab w:val="left" w:pos="1080" w:leader="none"/>
        </w:tabs>
        <w:ind w:hanging="360" w:start="1080" w:end="0"/>
        <w:rPr>
          <w:bCs/>
          <w:color w:val="333399"/>
        </w:rPr>
      </w:pPr>
      <w:r>
        <w:rPr>
          <w:bCs/>
          <w:color w:val="333399"/>
        </w:rPr>
        <w:t>Granted an extension to file Form 2</w:t>
      </w:r>
    </w:p>
    <w:p>
      <w:pPr>
        <w:pStyle w:val="Header"/>
        <w:numPr>
          <w:ilvl w:val="0"/>
          <w:numId w:val="1"/>
        </w:numPr>
        <w:tabs>
          <w:tab w:val="clear" w:pos="4320"/>
          <w:tab w:val="clear" w:pos="8640"/>
        </w:tabs>
        <w:rPr>
          <w:bCs/>
          <w:color w:val="333399"/>
        </w:rPr>
      </w:pPr>
      <w:r>
        <w:rPr>
          <w:bCs/>
          <w:color w:val="333399"/>
        </w:rPr>
        <w:t>Midwestern Gas</w:t>
      </w:r>
    </w:p>
    <w:p>
      <w:pPr>
        <w:pStyle w:val="Header"/>
        <w:numPr>
          <w:ilvl w:val="0"/>
          <w:numId w:val="2"/>
        </w:numPr>
        <w:tabs>
          <w:tab w:val="clear" w:pos="4320"/>
          <w:tab w:val="clear" w:pos="8640"/>
        </w:tabs>
        <w:rPr>
          <w:bCs/>
          <w:color w:val="333399"/>
        </w:rPr>
      </w:pPr>
      <w:r>
        <w:rPr>
          <w:bCs/>
          <w:color w:val="333399"/>
        </w:rPr>
        <w:t>Accepts compliance filing incorporating GISB Standard (0.3.1) effective May 1, 2001, RP01-388</w:t>
      </w:r>
    </w:p>
    <w:p>
      <w:pPr>
        <w:pStyle w:val="Header"/>
        <w:numPr>
          <w:ilvl w:val="0"/>
          <w:numId w:val="1"/>
        </w:numPr>
        <w:tabs>
          <w:tab w:val="clear" w:pos="4320"/>
          <w:tab w:val="clear" w:pos="8640"/>
        </w:tabs>
        <w:rPr>
          <w:bCs/>
          <w:color w:val="333399"/>
        </w:rPr>
      </w:pPr>
      <w:r>
        <w:rPr>
          <w:bCs/>
          <w:color w:val="333399"/>
        </w:rPr>
        <w:t>Northern Border</w:t>
      </w:r>
    </w:p>
    <w:p>
      <w:pPr>
        <w:pStyle w:val="Header"/>
        <w:numPr>
          <w:ilvl w:val="1"/>
          <w:numId w:val="1"/>
        </w:numPr>
        <w:tabs>
          <w:tab w:val="clear" w:pos="4320"/>
          <w:tab w:val="clear" w:pos="8640"/>
          <w:tab w:val="left" w:pos="1080" w:leader="none"/>
        </w:tabs>
        <w:ind w:hanging="360" w:start="1080" w:end="0"/>
        <w:rPr>
          <w:bCs/>
          <w:color w:val="333399"/>
        </w:rPr>
      </w:pPr>
      <w:r>
        <w:rPr>
          <w:bCs/>
          <w:color w:val="333399"/>
        </w:rPr>
        <w:t xml:space="preserve"> </w:t>
      </w:r>
      <w:r>
        <w:rPr>
          <w:bCs/>
          <w:color w:val="333399"/>
        </w:rPr>
        <w:t>Accepts proposed PAL service effective June 1, 2000; suspends OFO and curtailment provisions subject to review of Northern Border’s Order 637 compliance proceeding. FERC directs Northern Border to submit revisions to clarify certain provisions for PAL service. RP01-388</w:t>
      </w:r>
    </w:p>
    <w:p>
      <w:pPr>
        <w:pStyle w:val="Header"/>
        <w:numPr>
          <w:ilvl w:val="0"/>
          <w:numId w:val="1"/>
        </w:numPr>
        <w:tabs>
          <w:tab w:val="clear" w:pos="4320"/>
          <w:tab w:val="clear" w:pos="8640"/>
        </w:tabs>
        <w:rPr>
          <w:bCs/>
          <w:color w:val="333399"/>
        </w:rPr>
      </w:pPr>
      <w:r>
        <w:rPr>
          <w:bCs/>
          <w:color w:val="333399"/>
        </w:rPr>
        <w:t>Northern Natural</w:t>
      </w:r>
    </w:p>
    <w:p>
      <w:pPr>
        <w:pStyle w:val="Header"/>
        <w:numPr>
          <w:ilvl w:val="1"/>
          <w:numId w:val="1"/>
        </w:numPr>
        <w:tabs>
          <w:tab w:val="clear" w:pos="4320"/>
          <w:tab w:val="clear" w:pos="8640"/>
          <w:tab w:val="left" w:pos="1080" w:leader="none"/>
        </w:tabs>
        <w:ind w:hanging="360" w:start="1080" w:end="0"/>
        <w:rPr>
          <w:bCs/>
          <w:color w:val="333399"/>
        </w:rPr>
      </w:pPr>
      <w:r>
        <w:rPr>
          <w:bCs/>
          <w:color w:val="333399"/>
        </w:rPr>
        <w:t>Notice issued for technical conference scheduled for June 25, 2001 to discuss the amended provisions of the Carlton Commodity Surcharge, RP01-382</w:t>
      </w:r>
    </w:p>
    <w:p>
      <w:pPr>
        <w:pStyle w:val="Header"/>
        <w:numPr>
          <w:ilvl w:val="1"/>
          <w:numId w:val="1"/>
        </w:numPr>
        <w:tabs>
          <w:tab w:val="clear" w:pos="4320"/>
          <w:tab w:val="clear" w:pos="8640"/>
          <w:tab w:val="left" w:pos="1080" w:leader="none"/>
        </w:tabs>
        <w:ind w:hanging="360" w:start="1080" w:end="0"/>
        <w:rPr>
          <w:bCs/>
          <w:color w:val="333399"/>
        </w:rPr>
      </w:pPr>
      <w:r>
        <w:rPr>
          <w:bCs/>
          <w:color w:val="333399"/>
        </w:rPr>
        <w:t>Accepts compliance filing incorporating GISB standards as required by the April 26 order, RP01-366</w:t>
      </w:r>
    </w:p>
    <w:p>
      <w:pPr>
        <w:pStyle w:val="Header"/>
        <w:numPr>
          <w:ilvl w:val="1"/>
          <w:numId w:val="1"/>
        </w:numPr>
        <w:tabs>
          <w:tab w:val="clear" w:pos="4320"/>
          <w:tab w:val="clear" w:pos="8640"/>
          <w:tab w:val="left" w:pos="1080" w:leader="none"/>
        </w:tabs>
        <w:ind w:hanging="360" w:start="1080" w:end="0"/>
        <w:rPr>
          <w:bCs/>
          <w:color w:val="333399"/>
        </w:rPr>
      </w:pPr>
      <w:r>
        <w:rPr>
          <w:bCs/>
          <w:color w:val="333399"/>
        </w:rPr>
        <w:t xml:space="preserve"> </w:t>
      </w:r>
      <w:r>
        <w:rPr>
          <w:bCs/>
          <w:color w:val="333399"/>
        </w:rPr>
        <w:t>Suspends filing establishing fuel rates and adjustments to the proposed Periodic Rate Adjustment mechanism. Protestors raise concern with regard to fuel calculations and adjustments. Northern and Protestors request technical conference, RP01-395</w:t>
      </w:r>
    </w:p>
    <w:p>
      <w:pPr>
        <w:pStyle w:val="Header"/>
        <w:numPr>
          <w:ilvl w:val="1"/>
          <w:numId w:val="1"/>
        </w:numPr>
        <w:tabs>
          <w:tab w:val="clear" w:pos="4320"/>
          <w:tab w:val="clear" w:pos="8640"/>
          <w:tab w:val="left" w:pos="1080" w:leader="none"/>
        </w:tabs>
        <w:ind w:hanging="360" w:start="1080" w:end="0"/>
        <w:rPr>
          <w:bCs/>
          <w:color w:val="333399"/>
        </w:rPr>
      </w:pPr>
      <w:r>
        <w:rPr>
          <w:bCs/>
          <w:color w:val="333399"/>
        </w:rPr>
        <w:t>Suspends filing adjusting rates for second annual filing of the System Levelized Account (SLA), subject to refund and the outcome of Northern’s proceedings in RP01-76 (initial filing of SLA account)</w:t>
      </w:r>
    </w:p>
    <w:p>
      <w:pPr>
        <w:pStyle w:val="Header"/>
        <w:numPr>
          <w:ilvl w:val="1"/>
          <w:numId w:val="1"/>
        </w:numPr>
        <w:tabs>
          <w:tab w:val="clear" w:pos="4320"/>
          <w:tab w:val="clear" w:pos="8640"/>
          <w:tab w:val="left" w:pos="1080" w:leader="none"/>
        </w:tabs>
        <w:ind w:hanging="360" w:start="1080" w:end="0"/>
        <w:rPr>
          <w:bCs/>
          <w:color w:val="333399"/>
        </w:rPr>
      </w:pPr>
      <w:r>
        <w:rPr>
          <w:bCs/>
          <w:color w:val="333399"/>
        </w:rPr>
        <w:t>Rehearing order grants in part, denies in part, petition filed by Enron Gulf Coast Gathering requesting that MOPS be declared gathering facilities once transferred from Northern. In the prior order, FERC declared that all MOPS facilities were transmission. Requesting rehearing, Northern argues that FERC misapplied the primary function test (applied to whole system); misinterpreted future function (as transmission, should be gathering); and misinterpreted the central-point-in-the-field test as limited in analyzing MOPS offshore facilities. This is similar to Sea Robin in that reliance on one physical factor is inappropriate. FERC concludes that MOPS is composed of two distinct parts: gathering at MAT Block 686 and all other MOPS facilities upstream, and the downstream facilities. FERC grants rehearing of MAT Block 686 and other upstream facilities as gathering facilities and denies rehearing on downstream facilities since their primary function is transmission. CP95-516</w:t>
      </w:r>
    </w:p>
    <w:p>
      <w:pPr>
        <w:pStyle w:val="Header"/>
        <w:tabs>
          <w:tab w:val="clear" w:pos="4320"/>
          <w:tab w:val="clear" w:pos="8640"/>
        </w:tabs>
        <w:ind w:start="360" w:end="0"/>
        <w:rPr>
          <w:bCs/>
          <w:color w:val="333399"/>
        </w:rPr>
      </w:pPr>
      <w:r>
        <w:rPr>
          <w:bCs/>
          <w:color w:val="333399"/>
        </w:rPr>
      </w:r>
    </w:p>
    <w:p>
      <w:pPr>
        <w:pStyle w:val="Header"/>
        <w:tabs>
          <w:tab w:val="clear" w:pos="4320"/>
          <w:tab w:val="clear" w:pos="8640"/>
        </w:tabs>
        <w:ind w:start="360" w:end="0"/>
        <w:jc w:val="center"/>
        <w:rPr>
          <w:b/>
          <w:shadow/>
          <w:color w:val="333399"/>
        </w:rPr>
      </w:pPr>
      <w:r>
        <w:rPr>
          <w:b/>
          <w:shadow/>
          <w:color w:val="333399"/>
        </w:rPr>
        <w:t xml:space="preserve">Order 637 Settlement Orders </w:t>
      </w:r>
    </w:p>
    <w:p>
      <w:pPr>
        <w:pStyle w:val="Header"/>
        <w:tabs>
          <w:tab w:val="clear" w:pos="4320"/>
          <w:tab w:val="clear" w:pos="8640"/>
        </w:tabs>
        <w:ind w:start="360" w:end="0"/>
        <w:rPr>
          <w:b/>
          <w:bCs/>
          <w:shadow/>
          <w:color w:val="333399"/>
        </w:rPr>
      </w:pPr>
      <w:r>
        <w:rPr>
          <w:b/>
          <w:bCs/>
          <w:shadow/>
          <w:color w:val="333399"/>
        </w:rPr>
      </w:r>
    </w:p>
    <w:p>
      <w:pPr>
        <w:pStyle w:val="Header"/>
        <w:numPr>
          <w:ilvl w:val="0"/>
          <w:numId w:val="1"/>
        </w:numPr>
        <w:tabs>
          <w:tab w:val="clear" w:pos="4320"/>
          <w:tab w:val="clear" w:pos="8640"/>
        </w:tabs>
        <w:rPr>
          <w:bCs/>
          <w:color w:val="333399"/>
        </w:rPr>
      </w:pPr>
      <w:r>
        <w:rPr>
          <w:b/>
          <w:color w:val="333399"/>
        </w:rPr>
        <w:t>Colorado Interstate.</w:t>
      </w:r>
      <w:r>
        <w:rPr>
          <w:bCs/>
          <w:color w:val="333399"/>
        </w:rPr>
        <w:t xml:space="preserve"> FERC agrees that CIG’s five prerequisites for segmentation are focused properly on operational issues. The order approves the proposal to control or restrict segmentation subject to review after one year following implementation. CIG will review provisions such as curtailing segmented transactions pro rata. FERC also allows CIG’s pre-approval requirement for segmentation on its </w:t>
      </w:r>
      <w:r>
        <w:rPr>
          <w:bCs/>
          <w:i/>
          <w:iCs/>
          <w:color w:val="333399"/>
        </w:rPr>
        <w:t>reticulated system</w:t>
      </w:r>
      <w:r>
        <w:rPr>
          <w:bCs/>
          <w:color w:val="333399"/>
        </w:rPr>
        <w:t xml:space="preserve"> (italics mine), including the proposed 20-day prior notice period. The order does not agree with Indicated Parties’ arguments on within the flow path, as a within-the-path segmented point might impact previously unaffected operations and not take into account other factors CIG may have to consider. FERC approves CIG’s “use-or-lose” incentive on segments as well. </w:t>
      </w:r>
      <w:hyperlink r:id="rId2">
        <w:r>
          <w:rPr>
            <w:rStyle w:val="Hyperlink"/>
            <w:bCs/>
          </w:rPr>
          <w:t>RP00-325</w:t>
        </w:r>
      </w:hyperlink>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shadow/>
          <w:color w:val="333399"/>
        </w:rPr>
      </w:pPr>
      <w:r>
        <w:rPr>
          <w:b/>
          <w:color w:val="333399"/>
        </w:rPr>
        <w:t xml:space="preserve">Dominion. </w:t>
      </w:r>
      <w:r>
        <w:rPr>
          <w:bCs/>
          <w:color w:val="333399"/>
        </w:rPr>
        <w:t xml:space="preserve">Filed as a settlement, the Commission has approved all aspects of DTI’s Order 637 compliance filing. Of note is the acceptance of DTIs Market Center Segmentation proposal. As a reticulated system, DTI told the Commission that it is not operationally feasible to allow segmentation, but did come up with an alternative that allows shippers expanded rights to use “Market Center Points,” which are virtual points along the system. Shippers can segment their capacity into two pieces: receipt point to Market Center Point to delivery point. The Commission stated, “Given the reticulated nature of its system…[the proposal allows] segmentation to the extent feasible, while preserving the existing flexibility of DTI.” </w:t>
      </w:r>
      <w:hyperlink r:id="rId3">
        <w:r>
          <w:rPr>
            <w:rStyle w:val="Hyperlink"/>
            <w:bCs/>
          </w:rPr>
          <w:t>RP00-344/601</w:t>
        </w:r>
      </w:hyperlink>
    </w:p>
    <w:p>
      <w:pPr>
        <w:pStyle w:val="Header"/>
        <w:tabs>
          <w:tab w:val="clear" w:pos="4320"/>
          <w:tab w:val="clear" w:pos="8640"/>
        </w:tabs>
        <w:rPr>
          <w:bCs/>
          <w:shadow/>
          <w:color w:val="333399"/>
        </w:rPr>
      </w:pPr>
      <w:r>
        <w:rPr>
          <w:bCs/>
          <w:shadow/>
          <w:color w:val="333399"/>
        </w:rPr>
      </w:r>
    </w:p>
    <w:p>
      <w:pPr>
        <w:pStyle w:val="Header"/>
        <w:tabs>
          <w:tab w:val="clear" w:pos="4320"/>
          <w:tab w:val="clear" w:pos="8640"/>
        </w:tabs>
        <w:jc w:val="center"/>
        <w:rPr>
          <w:b/>
          <w:shadow/>
          <w:color w:val="333399"/>
        </w:rPr>
      </w:pPr>
      <w:r>
        <w:rPr>
          <w:b/>
          <w:shadow/>
          <w:color w:val="333399"/>
        </w:rPr>
        <w:t>Specific FERC Cases</w:t>
      </w:r>
    </w:p>
    <w:p>
      <w:pPr>
        <w:pStyle w:val="Header"/>
        <w:tabs>
          <w:tab w:val="clear" w:pos="4320"/>
          <w:tab w:val="clear" w:pos="8640"/>
        </w:tabs>
        <w:rPr>
          <w:b/>
          <w:shadow/>
          <w:color w:val="333399"/>
        </w:rPr>
      </w:pPr>
      <w:r>
        <w:rPr>
          <w:b/>
          <w:shadow/>
          <w:color w:val="333399"/>
        </w:rPr>
      </w:r>
    </w:p>
    <w:p>
      <w:pPr>
        <w:pStyle w:val="Header"/>
        <w:numPr>
          <w:ilvl w:val="0"/>
          <w:numId w:val="1"/>
        </w:numPr>
        <w:tabs>
          <w:tab w:val="clear" w:pos="4320"/>
          <w:tab w:val="clear" w:pos="8640"/>
        </w:tabs>
        <w:rPr>
          <w:bCs/>
          <w:color w:val="333399"/>
        </w:rPr>
      </w:pPr>
      <w:r>
        <w:rPr>
          <w:b/>
          <w:color w:val="333399"/>
        </w:rPr>
        <w:t xml:space="preserve">Gulfstream Construction Starts. </w:t>
      </w:r>
      <w:r>
        <w:rPr>
          <w:bCs/>
          <w:color w:val="333399"/>
        </w:rPr>
        <w:t>Gulfstream broke ground Thursday on its 753-mile pipeline under the Gulf of Mexico from Mississippi and Alabama to Florida. Target date for completion is June 2002 on the $1.6 billion project.</w:t>
      </w:r>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Algonquin Order on Generic Waiver of “Shipper Must Have Title” Rule For Off-System Capacity. </w:t>
      </w:r>
      <w:r>
        <w:rPr>
          <w:bCs/>
          <w:color w:val="333399"/>
        </w:rPr>
        <w:t xml:space="preserve">In an order issued May 30, FERC has approved the “shipper must have title” policy to the extent Algonquin renders off-system capacity. The FERC’s policy on pipelines holding capacity on other pipelines has evolved since Order 636. In a December 14, 2000 remand order, FERC found pipelines no longer need to obtain approval prior to acquiring capacity on another pipeline, provided that the acquiring pipeline agrees to be at-risk for any unrecovered costs with the acquired capacity. In a subsequent February 15, 2001 order, FERC clarified that a pipeline must seek waiver of the “shipper must have title” policy. In an April 12, 2001 order FERC stated that once a pipeline submitted a single filing to include a general statement in its tariff that it would “only transport for others on offsystem capacity pursuant to its existing tariff and rates” FERC would grant waiver.  </w:t>
      </w:r>
      <w:hyperlink r:id="rId4">
        <w:r>
          <w:rPr>
            <w:rStyle w:val="Hyperlink"/>
            <w:bCs/>
          </w:rPr>
          <w:t>RP01-410</w:t>
        </w:r>
      </w:hyperlink>
    </w:p>
    <w:p>
      <w:pPr>
        <w:pStyle w:val="Header"/>
        <w:tabs>
          <w:tab w:val="clear" w:pos="4320"/>
          <w:tab w:val="clear" w:pos="8640"/>
        </w:tabs>
        <w:rPr>
          <w:bCs/>
          <w:color w:val="333399"/>
        </w:rPr>
      </w:pPr>
      <w:r>
        <w:rPr>
          <w:bCs/>
          <w:color w:val="333399"/>
        </w:rPr>
      </w:r>
    </w:p>
    <w:p>
      <w:pPr>
        <w:pStyle w:val="Header"/>
        <w:tabs>
          <w:tab w:val="clear" w:pos="4320"/>
          <w:tab w:val="clear" w:pos="8640"/>
        </w:tabs>
        <w:ind w:start="720" w:end="0"/>
        <w:rPr/>
      </w:pPr>
      <w:r>
        <w:rPr>
          <w:b/>
          <w:i/>
          <w:iCs/>
          <w:color w:val="333399"/>
        </w:rPr>
        <w:t>Note</w:t>
      </w:r>
      <w:r>
        <w:rPr>
          <w:b/>
          <w:color w:val="333399"/>
        </w:rPr>
        <w:t xml:space="preserve">:  </w:t>
      </w:r>
      <w:r>
        <w:rPr>
          <w:bCs/>
          <w:color w:val="333399"/>
        </w:rPr>
        <w:t>Also approved generic “shipper must have title” waiver in:</w:t>
      </w:r>
    </w:p>
    <w:p>
      <w:pPr>
        <w:pStyle w:val="Header"/>
        <w:numPr>
          <w:ilvl w:val="0"/>
          <w:numId w:val="3"/>
        </w:numPr>
        <w:tabs>
          <w:tab w:val="clear" w:pos="4320"/>
          <w:tab w:val="clear" w:pos="8640"/>
          <w:tab w:val="left" w:pos="1800" w:leader="none"/>
        </w:tabs>
        <w:ind w:hanging="360" w:start="1800" w:end="0"/>
        <w:rPr>
          <w:bCs/>
          <w:color w:val="333399"/>
        </w:rPr>
      </w:pPr>
      <w:r>
        <w:rPr>
          <w:bCs/>
          <w:color w:val="333399"/>
        </w:rPr>
        <w:t>Maritimes &amp; Northeast, RP01-401</w:t>
      </w:r>
    </w:p>
    <w:p>
      <w:pPr>
        <w:pStyle w:val="Header"/>
        <w:numPr>
          <w:ilvl w:val="0"/>
          <w:numId w:val="3"/>
        </w:numPr>
        <w:tabs>
          <w:tab w:val="clear" w:pos="4320"/>
          <w:tab w:val="clear" w:pos="8640"/>
          <w:tab w:val="left" w:pos="1800" w:leader="none"/>
        </w:tabs>
        <w:ind w:hanging="360" w:start="1800" w:end="0"/>
        <w:rPr>
          <w:bCs/>
          <w:color w:val="333399"/>
        </w:rPr>
      </w:pPr>
      <w:r>
        <w:rPr>
          <w:bCs/>
          <w:color w:val="333399"/>
        </w:rPr>
        <w:t>East Tennessee, RP01-408</w:t>
      </w:r>
    </w:p>
    <w:p>
      <w:pPr>
        <w:pStyle w:val="Header"/>
        <w:numPr>
          <w:ilvl w:val="0"/>
          <w:numId w:val="3"/>
        </w:numPr>
        <w:tabs>
          <w:tab w:val="clear" w:pos="4320"/>
          <w:tab w:val="clear" w:pos="8640"/>
          <w:tab w:val="left" w:pos="1800" w:leader="none"/>
        </w:tabs>
        <w:ind w:hanging="360" w:start="1800" w:end="0"/>
        <w:rPr>
          <w:bCs/>
          <w:color w:val="333399"/>
        </w:rPr>
      </w:pPr>
      <w:r>
        <w:rPr>
          <w:bCs/>
          <w:color w:val="333399"/>
        </w:rPr>
        <w:t>Texas Eastern, RP01-394</w:t>
      </w:r>
    </w:p>
    <w:p>
      <w:pPr>
        <w:pStyle w:val="Header"/>
        <w:numPr>
          <w:ilvl w:val="0"/>
          <w:numId w:val="3"/>
        </w:numPr>
        <w:tabs>
          <w:tab w:val="clear" w:pos="4320"/>
          <w:tab w:val="clear" w:pos="8640"/>
          <w:tab w:val="left" w:pos="1800" w:leader="none"/>
        </w:tabs>
        <w:ind w:hanging="360" w:start="1800" w:end="0"/>
        <w:rPr>
          <w:bCs/>
          <w:color w:val="333399"/>
        </w:rPr>
      </w:pPr>
      <w:r>
        <w:rPr>
          <w:bCs/>
          <w:color w:val="333399"/>
        </w:rPr>
        <w:t>Great Lakes, RP01-397</w:t>
      </w:r>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Natural Gas Pipeline Order Accepts Proposal for Injection Flexibility.</w:t>
      </w:r>
      <w:r>
        <w:rPr>
          <w:bCs/>
          <w:color w:val="333399"/>
        </w:rPr>
        <w:t xml:space="preserve"> Natural proposes to allow an increase of a shipper’s firm injection flexibility to meet inventory and injection requirements during any part of the period from May to July 31 should operational conditions allow increased injections at that time. Specifically, Natural may grant an increase in firm injection rights of between 30% to 40% of the injection quotient (under rate schedule). A shipper may transfer up to 30% of its MSV in effect on November 1 each year into the shipper’s account from one or more of the accounts through an in-ground transfer. Such transfer must occur between November 1 and November 15 of the same year. Provisions require two days notice, transfer not to exceed storage rights, and shipper to pay any applicable transportation and fuel charges for transfers to a different storage point. </w:t>
      </w:r>
      <w:hyperlink r:id="rId5">
        <w:r>
          <w:rPr>
            <w:rStyle w:val="Hyperlink"/>
            <w:bCs/>
          </w:rPr>
          <w:t>RP01-405</w:t>
        </w:r>
      </w:hyperlink>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Columbia Gas Proposal For Generic Lateral Service at Incremental Rates Rejected. </w:t>
      </w:r>
      <w:r>
        <w:rPr>
          <w:bCs/>
          <w:color w:val="333399"/>
        </w:rPr>
        <w:t xml:space="preserve">Natural states that its proposal allowing construction and service on discrete lateral facilities at incremental rates requested by customers primarily to serve new proposed power facilities. Columbia is not proposing that service on all new laterals be provided under this schedule, but this rate schedule framework provides one option. This proposal has been filed concurrently with its certificate application in CP01-260 to construct facilities to serve Florida Power and Light. FERC rejects Columbia’s proposal as having failed to file an established maximum lawful rate for the proposed service. FERC states this is a premature filing since the certificate authorization has not been obtained for the new facilities. The filing is rejected without prejudice. </w:t>
      </w:r>
      <w:hyperlink r:id="rId6">
        <w:r>
          <w:rPr>
            <w:rStyle w:val="Hyperlink"/>
            <w:bCs/>
          </w:rPr>
          <w:t>RP01-401</w:t>
        </w:r>
      </w:hyperlink>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Algonquin and Texas Eastern Order Rejects Rehearing Request Charging Section 5 Investigation is Baseless. </w:t>
      </w:r>
      <w:r>
        <w:rPr>
          <w:bCs/>
          <w:color w:val="333399"/>
        </w:rPr>
        <w:t>Algonquin and Texas Eastern assert that FERC is instituting a Section 5 investigation of their tariffs as unnecessary. On April 30, 2001 order Algonquin and Texas Eastern filed for clarification of FERC’s order issued March 29, 2001 with respect to the scope of the right of first refusal (ROFR) rights to be retained by their shippers when those shippers voluntarily agree to terminate a portion of their contracts. FERC also directed a section 5 investigation of the transportation tariffs and requested a show cause as to why the ROFR provisions do not comport with Order Nos. 636 and 637. Algonquin and Texas Eastern assert that FERC has not provided evidence that an investigation that the pipelines’ existing tariff provisions are unjust or unreasonable. FERC responds that evidence is not a requirement for them to institute an investigation. The apparent conflict between tariff provisions and Commission policy is justification for an investigation. The tariff appears not to give customers the opportunity to match third party bids.</w:t>
      </w:r>
      <w:r>
        <w:rPr>
          <w:bCs/>
          <w:i/>
          <w:iCs/>
          <w:color w:val="333399"/>
        </w:rPr>
        <w:t xml:space="preserve"> </w:t>
      </w:r>
      <w:r>
        <w:rPr>
          <w:bCs/>
          <w:color w:val="333399"/>
        </w:rPr>
        <w:t xml:space="preserve">Rehearing is rejected. </w:t>
      </w:r>
      <w:r>
        <w:rPr>
          <w:bCs/>
          <w:i/>
          <w:iCs/>
          <w:color w:val="333399"/>
        </w:rPr>
        <w:t>Refer to Weekly Report, p. 3 of March 30 in Archives (</w:t>
      </w:r>
      <w:hyperlink r:id="rId7">
        <w:r>
          <w:rPr>
            <w:rStyle w:val="Hyperlink"/>
            <w:bCs/>
            <w:i/>
            <w:iCs/>
          </w:rPr>
          <w:t>RP00-533</w:t>
        </w:r>
      </w:hyperlink>
      <w:r>
        <w:rPr>
          <w:bCs/>
          <w:i/>
          <w:iCs/>
          <w:color w:val="333399"/>
        </w:rPr>
        <w:t>)</w:t>
      </w:r>
      <w:r>
        <w:rPr>
          <w:bCs/>
          <w:color w:val="333399"/>
        </w:rPr>
        <w:t xml:space="preserve">. </w:t>
      </w:r>
      <w:hyperlink r:id="rId8">
        <w:r>
          <w:rPr>
            <w:rStyle w:val="Hyperlink"/>
            <w:bCs/>
          </w:rPr>
          <w:t>RP00-533</w:t>
        </w:r>
      </w:hyperlink>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Summit Power v. Portland General Notice of Complaint. </w:t>
      </w:r>
      <w:r>
        <w:rPr>
          <w:bCs/>
          <w:color w:val="333399"/>
        </w:rPr>
        <w:t xml:space="preserve">Summit Power has filed a complaint with FERC alleging that Summit is a) entitled to interconnect with the Kelso-Beaver Pipeline; b) FERC should require Portland General to file its Part 284 open access blanket transportation certificate and respond to Summit’s request for firm capacity no later than June 15, 2001; c) determine that capacity is available on the Kelso-Beaver Pipeline to serve Summit’s proposed power plant project; and 4) require Portland General to immediately consider Summit’s request for transportation service in Portland General’s expansion plans for the K-B Pipeline. </w:t>
      </w:r>
      <w:hyperlink r:id="rId9">
        <w:r>
          <w:rPr>
            <w:rStyle w:val="Hyperlink"/>
            <w:bCs/>
          </w:rPr>
          <w:t>RP01-433</w:t>
        </w:r>
      </w:hyperlink>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Cs/>
          <w:color w:val="333399"/>
        </w:rPr>
        <w:t xml:space="preserve"> </w:t>
      </w:r>
      <w:r>
        <w:rPr>
          <w:b/>
          <w:color w:val="333399"/>
        </w:rPr>
        <w:t xml:space="preserve">Texas Gas Technical Conference. </w:t>
      </w:r>
      <w:r>
        <w:rPr>
          <w:bCs/>
          <w:color w:val="333399"/>
        </w:rPr>
        <w:t>A notice is issued scheduling a technical conference for June 12, 2001 to discuss the proposed change to its Cash-out mechanism. Several parties have protested various aspects of Texas Gas’ filing. RP01-278</w:t>
      </w:r>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ANR Pipeline Settlement Order Authorizes Reacquisition of Capacity on Viking System. </w:t>
      </w:r>
      <w:r>
        <w:rPr>
          <w:bCs/>
          <w:color w:val="333399"/>
        </w:rPr>
        <w:t xml:space="preserve">ANR filed a petition seeking to reacquire certain firm capacity on the Viking system. ANR had released the capacity at issue to former sales customers in accordance with FERC’s directive relating to Order 636 restructuring proceedings. Viking, however, declined to release capacity to ANR, instead posted it for bids and reassigned it to other shippers. The offer of settlement enables ANR to secure capacity, which ANR believes is required for operational reliability purposes. The settlement is certified. </w:t>
      </w:r>
      <w:hyperlink r:id="rId10">
        <w:r>
          <w:rPr>
            <w:rStyle w:val="Hyperlink"/>
            <w:bCs/>
          </w:rPr>
          <w:t>CP00-391</w:t>
        </w:r>
      </w:hyperlink>
    </w:p>
    <w:p>
      <w:pPr>
        <w:pStyle w:val="Header"/>
        <w:tabs>
          <w:tab w:val="clear" w:pos="4320"/>
          <w:tab w:val="clear" w:pos="8640"/>
        </w:tabs>
        <w:rPr>
          <w:bCs/>
          <w:color w:val="333399"/>
        </w:rPr>
      </w:pPr>
      <w:r>
        <w:rPr>
          <w:bCs/>
          <w:color w:val="333399"/>
        </w:rPr>
      </w:r>
    </w:p>
    <w:p>
      <w:pPr>
        <w:pStyle w:val="Header"/>
        <w:tabs>
          <w:tab w:val="clear" w:pos="4320"/>
          <w:tab w:val="clear" w:pos="8640"/>
        </w:tabs>
        <w:jc w:val="center"/>
        <w:rPr>
          <w:b/>
          <w:shadow/>
          <w:color w:val="333399"/>
        </w:rPr>
      </w:pPr>
      <w:r>
        <w:rPr>
          <w:b/>
          <w:shadow/>
          <w:color w:val="333399"/>
        </w:rPr>
        <w:t>Electric Matters</w:t>
      </w:r>
    </w:p>
    <w:p>
      <w:pPr>
        <w:pStyle w:val="Header"/>
        <w:tabs>
          <w:tab w:val="clear" w:pos="4320"/>
          <w:tab w:val="clear" w:pos="8640"/>
        </w:tabs>
        <w:rPr>
          <w:b/>
          <w:shadow/>
          <w:color w:val="333399"/>
        </w:rPr>
      </w:pPr>
      <w:r>
        <w:rPr>
          <w:b/>
          <w:shadow/>
          <w:color w:val="333399"/>
        </w:rPr>
      </w:r>
    </w:p>
    <w:p>
      <w:pPr>
        <w:pStyle w:val="Header"/>
        <w:numPr>
          <w:ilvl w:val="0"/>
          <w:numId w:val="1"/>
        </w:numPr>
        <w:tabs>
          <w:tab w:val="clear" w:pos="4320"/>
          <w:tab w:val="clear" w:pos="8640"/>
        </w:tabs>
        <w:rPr>
          <w:bCs/>
          <w:color w:val="333399"/>
        </w:rPr>
      </w:pPr>
      <w:r>
        <w:rPr>
          <w:b/>
          <w:color w:val="333399"/>
        </w:rPr>
        <w:t xml:space="preserve">PG&amp;E Starts Open Season For Capacity on Transmission System. </w:t>
      </w:r>
      <w:r>
        <w:rPr>
          <w:bCs/>
          <w:color w:val="333399"/>
        </w:rPr>
        <w:t xml:space="preserve">The utility is holding an open season in June and July for capacity on its in-state transmission system. </w:t>
      </w:r>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DTE Energy and MCN Energy Group Complete Merger. </w:t>
      </w:r>
      <w:r>
        <w:rPr>
          <w:bCs/>
          <w:color w:val="333399"/>
        </w:rPr>
        <w:t xml:space="preserve">DTE Energy announced its $3.9 billion merger plans with MCN Energy Group. DTE will remain headquartered in Detroit serving 2.1 million electric customers and 1.2 million natural gas customers in Michigan. </w:t>
      </w:r>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
          <w:color w:val="333399"/>
        </w:rPr>
      </w:pPr>
      <w:r>
        <w:rPr>
          <w:b/>
          <w:color w:val="333399"/>
        </w:rPr>
        <w:t xml:space="preserve">NYISO Thinks Blackouts Unlikely. </w:t>
      </w:r>
      <w:r>
        <w:rPr>
          <w:bCs/>
          <w:color w:val="333399"/>
        </w:rPr>
        <w:t xml:space="preserve">Yesterday, NYISO and New York City officials expressed confidence that New York would not experience blackouts this summer but will have “razor-thin” positive margin starting in July. </w:t>
      </w:r>
    </w:p>
    <w:p>
      <w:pPr>
        <w:pStyle w:val="Header"/>
        <w:tabs>
          <w:tab w:val="clear" w:pos="4320"/>
          <w:tab w:val="clear" w:pos="8640"/>
        </w:tabs>
        <w:rPr>
          <w:b/>
          <w:bCs/>
          <w:color w:val="333399"/>
        </w:rPr>
      </w:pPr>
      <w:r>
        <w:rPr>
          <w:b/>
          <w:bCs/>
          <w:color w:val="333399"/>
        </w:rPr>
      </w:r>
    </w:p>
    <w:p>
      <w:pPr>
        <w:pStyle w:val="Header"/>
        <w:tabs>
          <w:tab w:val="clear" w:pos="4320"/>
          <w:tab w:val="clear" w:pos="8640"/>
        </w:tabs>
        <w:jc w:val="center"/>
        <w:rPr>
          <w:bCs/>
          <w:color w:val="333399"/>
        </w:rPr>
      </w:pPr>
      <w:r>
        <w:rPr>
          <w:b/>
          <w:color w:val="333399"/>
        </w:rPr>
        <w:t>California Energy Matters</w:t>
      </w:r>
    </w:p>
    <w:p>
      <w:pPr>
        <w:pStyle w:val="Header"/>
        <w:tabs>
          <w:tab w:val="clear" w:pos="4320"/>
          <w:tab w:val="clear" w:pos="8640"/>
        </w:tabs>
        <w:jc w:val="center"/>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California Lawmakers Seek Rehearing</w:t>
      </w:r>
      <w:r>
        <w:rPr>
          <w:bCs/>
          <w:color w:val="333399"/>
        </w:rPr>
        <w:t>. Irrespective of the 9</w:t>
      </w:r>
      <w:r>
        <w:rPr>
          <w:bCs/>
          <w:color w:val="333399"/>
          <w:vertAlign w:val="superscript"/>
        </w:rPr>
        <w:t>th</w:t>
      </w:r>
      <w:r>
        <w:rPr>
          <w:bCs/>
          <w:color w:val="333399"/>
        </w:rPr>
        <w:t xml:space="preserve"> Circuit Court of Appeals denying a request for price caps, the California lawmakers filed a rehearing request of FERC’s April 26 order. The petition asks FERC for review contending that the order imposes price mitigation only during statewide grid emergencies; allows prices well above suppliers’ reasonable costs and unreasonably terminates price mitigation after one year. </w:t>
      </w:r>
    </w:p>
    <w:p>
      <w:pPr>
        <w:pStyle w:val="Header"/>
        <w:tabs>
          <w:tab w:val="clear" w:pos="4320"/>
          <w:tab w:val="clear" w:pos="8640"/>
        </w:tabs>
        <w:rPr>
          <w:bCs/>
          <w:color w:val="333399"/>
        </w:rPr>
      </w:pPr>
      <w:r>
        <w:rPr>
          <w:bCs/>
          <w:color w:val="333399"/>
        </w:rPr>
      </w:r>
    </w:p>
    <w:p>
      <w:pPr>
        <w:pStyle w:val="Header"/>
        <w:tabs>
          <w:tab w:val="clear" w:pos="4320"/>
          <w:tab w:val="clear" w:pos="8640"/>
        </w:tabs>
        <w:jc w:val="center"/>
        <w:rPr>
          <w:b/>
          <w:shadow/>
          <w:color w:val="333399"/>
        </w:rPr>
      </w:pPr>
      <w:r>
        <w:rPr>
          <w:b/>
          <w:shadow/>
          <w:color w:val="333399"/>
        </w:rPr>
        <w:t>Industry Matters</w:t>
      </w:r>
    </w:p>
    <w:p>
      <w:pPr>
        <w:pStyle w:val="Header"/>
        <w:tabs>
          <w:tab w:val="clear" w:pos="4320"/>
          <w:tab w:val="clear" w:pos="8640"/>
        </w:tabs>
        <w:rPr>
          <w:b/>
          <w:bCs/>
          <w:shadow/>
          <w:color w:val="333399"/>
        </w:rPr>
      </w:pPr>
      <w:r>
        <w:rPr>
          <w:b/>
          <w:bCs/>
          <w:shadow/>
          <w:color w:val="333399"/>
        </w:rPr>
      </w:r>
    </w:p>
    <w:p>
      <w:pPr>
        <w:pStyle w:val="Header"/>
        <w:numPr>
          <w:ilvl w:val="0"/>
          <w:numId w:val="1"/>
        </w:numPr>
        <w:tabs>
          <w:tab w:val="clear" w:pos="4320"/>
          <w:tab w:val="clear" w:pos="8640"/>
        </w:tabs>
        <w:rPr>
          <w:bCs/>
          <w:color w:val="333399"/>
        </w:rPr>
      </w:pPr>
      <w:r>
        <w:rPr>
          <w:b/>
          <w:color w:val="333399"/>
        </w:rPr>
        <w:t xml:space="preserve">DOE To Provide $4.4 Million To Upgrade Nation’s Gas Transportation Systems. </w:t>
      </w:r>
      <w:r>
        <w:rPr>
          <w:bCs/>
          <w:color w:val="333399"/>
        </w:rPr>
        <w:t xml:space="preserve">Energy Secretary, Spencer Abraham announced yesterday that DOE is to provide partial funding for eleven government-industry collaborative projects for upgrading safety and performance of U.S. natural gas interstate/intrastate transportation systems. Over the next three years, DOE plans to provide $4.4 million to develop high-tech technologies to improve gas delivery infrastructure with industry partners matching with $3.6 million. Examples of projects  anticipated are: 1) development of automated warning systems to prevent third-party digging; 2) development of micro-pilot ignition system retrofitting thousands of 20-50 year old compressor engines; 3) creation of sensing system using sound waves and electromagnetic means to detect severity of corrosion; and 4) development of magnetic telescope for inspectors to detect defects underground gas lines.  </w:t>
      </w:r>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Dominion Signs Deal With Ute Indian Tribe. </w:t>
      </w:r>
      <w:r>
        <w:rPr>
          <w:bCs/>
          <w:color w:val="333399"/>
        </w:rPr>
        <w:t>Dominion Exploration &amp; Production has entered into a landmark agreement with the Northern Ute Partners to jointly explore and develop oil and natural gas on 83,000 acres of previously restricted lands with two Indian reservations in Utah. The area has been off limits for exploration since being reserved by the federal government in 1916. The lands were transferred to the Northern Ute Tribe in January 2001 through legislation signed by President Clinton in 2000.</w:t>
      </w:r>
    </w:p>
    <w:p>
      <w:pPr>
        <w:pStyle w:val="Header"/>
        <w:tabs>
          <w:tab w:val="clear" w:pos="4320"/>
          <w:tab w:val="clear" w:pos="8640"/>
        </w:tabs>
        <w:ind w:start="720" w:end="0"/>
        <w:rPr>
          <w:bCs/>
          <w:shadow/>
          <w:color w:val="333399"/>
        </w:rPr>
      </w:pPr>
      <w:r>
        <w:rPr>
          <w:bCs/>
          <w:shadow/>
          <w:color w:val="333399"/>
        </w:rPr>
      </w:r>
    </w:p>
    <w:sectPr>
      <w:footerReference w:type="default" r:id="rId11"/>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June-01doc</w:t>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57785" cy="131445"/>
              <wp:effectExtent l="0" t="0" r="0" b="0"/>
              <wp:wrapSquare wrapText="bothSides"/>
              <wp:docPr id="1" name="Frame1"/>
              <a:graphic xmlns:a="http://schemas.openxmlformats.org/drawingml/2006/main">
                <a:graphicData uri="http://schemas.microsoft.com/office/word/2010/wordprocessingShape">
                  <wps:wsp>
                    <wps:cNvSpPr txBox="1"/>
                    <wps:spPr>
                      <a:xfrm>
                        <a:off x="0" y="0"/>
                        <a:ext cx="57785" cy="131445"/>
                      </a:xfrm>
                      <a:prstGeom prst="rect"/>
                      <a:solidFill>
                        <a:srgbClr val="FFFFFF">
                          <a:alpha val="0"/>
                        </a:srgbClr>
                      </a:solidFill>
                    </wps:spPr>
                    <wps:txbx>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4.55pt;height:10.35pt;mso-wrap-distance-left:0pt;mso-wrap-distance-right:0pt;mso-wrap-distance-top:0pt;mso-wrap-distance-bottom:0pt;margin-top:0.05pt;mso-position-vertical-relative:text;margin-left:213.75pt;mso-position-horizontal:center;mso-position-horizontal-relative:margin">
              <v:fill opacity="0f"/>
              <v:textbox inset="0in,0in,0in,0in">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3z0">
    <w:name w:val="WW8Num3z0"/>
    <w:qFormat/>
    <w:rPr>
      <w:rFonts w:ascii="Symbol" w:hAnsi="Symbol" w:cs="Symbol"/>
    </w:rPr>
  </w:style>
  <w:style w:type="character" w:styleId="WW8Num4z1">
    <w:name w:val="WW8Num4z1"/>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5z0">
    <w:name w:val="WW8Num15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keepLines/>
      <w:autoSpaceDE w:val="false"/>
      <w:spacing w:lineRule="atLeast" w:line="240"/>
      <w:ind w:hanging="0" w:start="720" w:end="0"/>
    </w:pPr>
    <w:rPr>
      <w:color w:val="000000"/>
      <w:sz w:val="20"/>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cips.ferc.fed.us/Q/CIPS/GAS/RP/RP00-325.00B.TXT" TargetMode="External"/><Relationship Id="rId3" Type="http://schemas.openxmlformats.org/officeDocument/2006/relationships/hyperlink" Target="http://cips.ferc.fed.us/Q/CIPS/GAS/RP/RP00-344.00E.TXT" TargetMode="External"/><Relationship Id="rId4" Type="http://schemas.openxmlformats.org/officeDocument/2006/relationships/hyperlink" Target="http://cips.ferc.fed.us/Q/CIPS/GAS/RP/RP01-410.00A.TXT" TargetMode="External"/><Relationship Id="rId5" Type="http://schemas.openxmlformats.org/officeDocument/2006/relationships/hyperlink" Target="http://cips.ferc.fed.us/Q/CIPS/GAS/RP/RP01-405.00A.TXT" TargetMode="External"/><Relationship Id="rId6" Type="http://schemas.openxmlformats.org/officeDocument/2006/relationships/hyperlink" Target="http://cips.ferc.fed.us/Q/CIPS/GAS/RP/RP01-401.00A.TXT" TargetMode="External"/><Relationship Id="rId7" Type="http://schemas.openxmlformats.org/officeDocument/2006/relationships/hyperlink" Target="http://cips.ferc.fed.us/Q/CIPS/GAS/RP/RP00-533.00B.TXT" TargetMode="External"/><Relationship Id="rId8" Type="http://schemas.openxmlformats.org/officeDocument/2006/relationships/hyperlink" Target="http://cips.ferc.fed.us/Q/CIPS/GAS/RP/RP00-533.002.TXT" TargetMode="External"/><Relationship Id="rId9" Type="http://schemas.openxmlformats.org/officeDocument/2006/relationships/hyperlink" Target="http://cips.ferc.fed.us/Q/CIPS/GAS/RP/RP01-433.000.TXT" TargetMode="External"/><Relationship Id="rId10" Type="http://schemas.openxmlformats.org/officeDocument/2006/relationships/hyperlink" Target="http://cips.ferc.fed.us/Q/CIPS/GAS/CP/CP00-391.00P.TXT" TargetMode="Externa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2001-06-01T12:06:00Z</dcterms:created>
  <dc:creator>jbutler</dc:creator>
  <dc:description/>
  <dc:language>en-CA</dc:language>
  <cp:lastModifiedBy>jbutler</cp:lastModifiedBy>
  <cp:lastPrinted>2001-06-01T16:38:00Z</cp:lastPrinted>
  <dcterms:modified xsi:type="dcterms:W3CDTF">2001-06-01T19:22:00Z</dcterms:modified>
  <cp:revision>10</cp:revision>
  <dc:subject/>
  <dc:title>General FERC Matters</dc:title>
</cp:coreProperties>
</file>