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drawing>
          <wp:anchor behindDoc="0" distT="0" distB="0" distL="114935" distR="114935" simplePos="0" locked="0" layoutInCell="1" allowOverlap="1" relativeHeight="2">
            <wp:simplePos x="0" y="0"/>
            <wp:positionH relativeFrom="column">
              <wp:posOffset>-594360</wp:posOffset>
            </wp:positionH>
            <wp:positionV relativeFrom="paragraph">
              <wp:posOffset>-525780</wp:posOffset>
            </wp:positionV>
            <wp:extent cx="1028700" cy="43815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4" t="-54" r="-24" b="-54"/>
                    <a:stretch>
                      <a:fillRect/>
                    </a:stretch>
                  </pic:blipFill>
                  <pic:spPr bwMode="auto">
                    <a:xfrm>
                      <a:off x="0" y="0"/>
                      <a:ext cx="1028700" cy="438150"/>
                    </a:xfrm>
                    <a:prstGeom prst="rect">
                      <a:avLst/>
                    </a:prstGeom>
                    <a:noFill/>
                  </pic:spPr>
                </pic:pic>
              </a:graphicData>
            </a:graphic>
          </wp:anchor>
        </w:drawing>
      </w:r>
      <w:r>
        <w:rPr/>
        <w:t>Monthly Summary for Pulp</w:t>
      </w:r>
    </w:p>
    <w:p>
      <w:pPr>
        <w:pStyle w:val="Normal"/>
        <w:rPr/>
      </w:pPr>
      <w:r>
        <w:rPr/>
      </w:r>
    </w:p>
    <w:p>
      <w:pPr>
        <w:pStyle w:val="Normal"/>
        <w:rPr/>
      </w:pPr>
      <w:r>
        <w:rPr/>
      </w:r>
    </w:p>
    <w:p>
      <w:pPr>
        <w:pStyle w:val="Heading1"/>
        <w:ind w:hanging="0" w:start="0"/>
        <w:rPr/>
      </w:pPr>
      <w:r>
        <w:rPr/>
        <w:t>Prices</w:t>
      </w:r>
    </w:p>
    <w:p>
      <w:pPr>
        <w:pStyle w:val="Normal"/>
        <w:rPr/>
      </w:pPr>
      <w:r>
        <w:rPr/>
      </w:r>
    </w:p>
    <w:p>
      <w:pPr>
        <w:pStyle w:val="Normal"/>
        <w:rPr/>
      </w:pPr>
      <w:r>
        <w:rPr/>
        <w:t>Prices continued their downward trend during the month of July. This was expected due to the seasonal low demand in the summer. See table below for the RISI index for year 2001 including July.</w:t>
      </w:r>
    </w:p>
    <w:p>
      <w:pPr>
        <w:pStyle w:val="Normal"/>
        <w:rPr/>
      </w:pPr>
      <w:r>
        <w:rPr/>
      </w:r>
    </w:p>
    <w:p>
      <w:pPr>
        <w:pStyle w:val="Normal"/>
        <w:tabs>
          <w:tab w:val="clear" w:pos="720"/>
          <w:tab w:val="left" w:pos="1350" w:leader="none"/>
        </w:tabs>
        <w:autoSpaceDE w:val="false"/>
        <w:spacing w:before="100" w:after="100"/>
        <w:jc w:val="center"/>
        <w:rPr/>
      </w:pPr>
      <w:r>
        <w:rPr/>
        <w:t>RISI Index for 2001</w:t>
      </w:r>
    </w:p>
    <w:tbl>
      <w:tblPr>
        <w:tblW w:w="5760" w:type="dxa"/>
        <w:jc w:val="center"/>
        <w:tblInd w:w="0" w:type="dxa"/>
        <w:tblLayout w:type="fixed"/>
        <w:tblCellMar>
          <w:top w:w="15" w:type="dxa"/>
          <w:start w:w="15" w:type="dxa"/>
          <w:bottom w:w="0" w:type="dxa"/>
          <w:end w:w="15" w:type="dxa"/>
        </w:tblCellMar>
      </w:tblPr>
      <w:tblGrid>
        <w:gridCol w:w="960"/>
        <w:gridCol w:w="960"/>
        <w:gridCol w:w="960"/>
        <w:gridCol w:w="960"/>
        <w:gridCol w:w="960"/>
        <w:gridCol w:w="960"/>
      </w:tblGrid>
      <w:tr>
        <w:trPr>
          <w:trHeight w:val="270" w:hRule="atLeast"/>
        </w:trPr>
        <w:tc>
          <w:tcPr>
            <w:tcW w:w="960" w:type="dxa"/>
            <w:tcBorders>
              <w:top w:val="single" w:sz="8" w:space="0" w:color="000000"/>
              <w:start w:val="single" w:sz="8" w:space="0" w:color="000000"/>
            </w:tcBorders>
            <w:shd w:fill="CCFFFF" w:val="clear"/>
            <w:vAlign w:val="bottom"/>
          </w:tcPr>
          <w:p>
            <w:pPr>
              <w:pStyle w:val="Heading7"/>
              <w:ind w:hanging="0" w:start="0"/>
              <w:rPr>
                <w:rFonts w:eastAsia="Arial Unicode MS"/>
              </w:rPr>
            </w:pPr>
            <w:r>
              <w:rPr/>
              <w:t>Date</w:t>
            </w:r>
          </w:p>
        </w:tc>
        <w:tc>
          <w:tcPr>
            <w:tcW w:w="960" w:type="dxa"/>
            <w:tcBorders>
              <w:top w:val="single" w:sz="8" w:space="0" w:color="000000"/>
            </w:tcBorders>
            <w:shd w:fill="CCFFFF" w:val="clear"/>
            <w:vAlign w:val="bottom"/>
          </w:tcPr>
          <w:p>
            <w:pPr>
              <w:pStyle w:val="Normal"/>
              <w:jc w:val="center"/>
              <w:rPr>
                <w:rFonts w:eastAsia="Arial Unicode MS"/>
                <w:b/>
                <w:bCs/>
                <w:sz w:val="14"/>
                <w:szCs w:val="18"/>
              </w:rPr>
            </w:pPr>
            <w:r>
              <w:rPr>
                <w:b/>
                <w:bCs/>
                <w:sz w:val="14"/>
                <w:szCs w:val="18"/>
              </w:rPr>
              <w:t>NBSK</w:t>
            </w:r>
          </w:p>
        </w:tc>
        <w:tc>
          <w:tcPr>
            <w:tcW w:w="960" w:type="dxa"/>
            <w:tcBorders>
              <w:top w:val="single" w:sz="8" w:space="0" w:color="000000"/>
            </w:tcBorders>
            <w:shd w:fill="CCFFFF" w:val="clear"/>
            <w:vAlign w:val="bottom"/>
          </w:tcPr>
          <w:p>
            <w:pPr>
              <w:pStyle w:val="Normal"/>
              <w:jc w:val="center"/>
              <w:rPr>
                <w:rFonts w:eastAsia="Arial Unicode MS"/>
                <w:b/>
                <w:bCs/>
                <w:sz w:val="14"/>
                <w:szCs w:val="18"/>
              </w:rPr>
            </w:pPr>
            <w:r>
              <w:rPr>
                <w:b/>
                <w:bCs/>
                <w:sz w:val="14"/>
                <w:szCs w:val="18"/>
              </w:rPr>
              <w:t>NBHK</w:t>
            </w:r>
          </w:p>
        </w:tc>
        <w:tc>
          <w:tcPr>
            <w:tcW w:w="960" w:type="dxa"/>
            <w:tcBorders>
              <w:top w:val="single" w:sz="8" w:space="0" w:color="000000"/>
            </w:tcBorders>
            <w:shd w:fill="CCFFFF" w:val="clear"/>
            <w:vAlign w:val="bottom"/>
          </w:tcPr>
          <w:p>
            <w:pPr>
              <w:pStyle w:val="Normal"/>
              <w:jc w:val="center"/>
              <w:rPr>
                <w:rFonts w:eastAsia="Arial Unicode MS"/>
                <w:b/>
                <w:bCs/>
                <w:sz w:val="14"/>
                <w:szCs w:val="18"/>
              </w:rPr>
            </w:pPr>
            <w:r>
              <w:rPr>
                <w:b/>
                <w:bCs/>
                <w:sz w:val="14"/>
                <w:szCs w:val="18"/>
              </w:rPr>
              <w:t>SBSK</w:t>
            </w:r>
          </w:p>
        </w:tc>
        <w:tc>
          <w:tcPr>
            <w:tcW w:w="960" w:type="dxa"/>
            <w:tcBorders>
              <w:top w:val="single" w:sz="8" w:space="0" w:color="000000"/>
            </w:tcBorders>
            <w:shd w:fill="CCFFFF" w:val="clear"/>
            <w:vAlign w:val="bottom"/>
          </w:tcPr>
          <w:p>
            <w:pPr>
              <w:pStyle w:val="Normal"/>
              <w:jc w:val="center"/>
              <w:rPr>
                <w:rFonts w:eastAsia="Arial Unicode MS"/>
                <w:b/>
                <w:bCs/>
                <w:sz w:val="14"/>
                <w:szCs w:val="18"/>
              </w:rPr>
            </w:pPr>
            <w:r>
              <w:rPr>
                <w:b/>
                <w:bCs/>
                <w:sz w:val="14"/>
                <w:szCs w:val="18"/>
              </w:rPr>
              <w:t>SBHK</w:t>
            </w:r>
          </w:p>
        </w:tc>
        <w:tc>
          <w:tcPr>
            <w:tcW w:w="960" w:type="dxa"/>
            <w:tcBorders>
              <w:top w:val="single" w:sz="8" w:space="0" w:color="000000"/>
              <w:end w:val="single" w:sz="8" w:space="0" w:color="000000"/>
            </w:tcBorders>
            <w:shd w:fill="CCFFFF" w:val="clear"/>
            <w:vAlign w:val="bottom"/>
          </w:tcPr>
          <w:p>
            <w:pPr>
              <w:pStyle w:val="Normal"/>
              <w:jc w:val="center"/>
              <w:rPr>
                <w:rFonts w:eastAsia="Arial Unicode MS"/>
                <w:b/>
                <w:bCs/>
                <w:sz w:val="14"/>
                <w:szCs w:val="18"/>
              </w:rPr>
            </w:pPr>
            <w:r>
              <w:rPr>
                <w:b/>
                <w:bCs/>
                <w:sz w:val="14"/>
                <w:szCs w:val="18"/>
              </w:rPr>
              <w:t>BEK</w:t>
            </w:r>
          </w:p>
        </w:tc>
      </w:tr>
      <w:tr>
        <w:trPr>
          <w:trHeight w:val="255" w:hRule="atLeast"/>
        </w:trPr>
        <w:tc>
          <w:tcPr>
            <w:tcW w:w="960" w:type="dxa"/>
            <w:tcBorders>
              <w:top w:val="single" w:sz="8" w:space="0" w:color="000000"/>
              <w:start w:val="single" w:sz="8" w:space="0" w:color="000000"/>
              <w:bottom w:val="single" w:sz="4" w:space="0" w:color="000000"/>
              <w:end w:val="single" w:sz="4" w:space="0" w:color="000000"/>
            </w:tcBorders>
            <w:vAlign w:val="bottom"/>
          </w:tcPr>
          <w:p>
            <w:pPr>
              <w:pStyle w:val="Heading7"/>
              <w:ind w:hanging="0" w:start="0"/>
              <w:rPr>
                <w:rFonts w:ascii="Arial" w:hAnsi="Arial" w:eastAsia="Arial Unicode MS" w:cs="Arial"/>
                <w:szCs w:val="18"/>
              </w:rPr>
            </w:pPr>
            <w:r>
              <w:rPr>
                <w:rFonts w:cs="Arial" w:ascii="Arial" w:hAnsi="Arial"/>
                <w:szCs w:val="18"/>
              </w:rPr>
              <w:t>Jan-01</w:t>
            </w:r>
          </w:p>
        </w:tc>
        <w:tc>
          <w:tcPr>
            <w:tcW w:w="960" w:type="dxa"/>
            <w:tcBorders>
              <w:top w:val="single" w:sz="8" w:space="0" w:color="000000"/>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690</w:t>
            </w:r>
          </w:p>
        </w:tc>
        <w:tc>
          <w:tcPr>
            <w:tcW w:w="960" w:type="dxa"/>
            <w:tcBorders>
              <w:top w:val="single" w:sz="8" w:space="0" w:color="000000"/>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650</w:t>
            </w:r>
          </w:p>
        </w:tc>
        <w:tc>
          <w:tcPr>
            <w:tcW w:w="960" w:type="dxa"/>
            <w:tcBorders>
              <w:top w:val="single" w:sz="8" w:space="0" w:color="000000"/>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660</w:t>
            </w:r>
          </w:p>
        </w:tc>
        <w:tc>
          <w:tcPr>
            <w:tcW w:w="960" w:type="dxa"/>
            <w:tcBorders>
              <w:top w:val="single" w:sz="8" w:space="0" w:color="000000"/>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635</w:t>
            </w:r>
          </w:p>
        </w:tc>
        <w:tc>
          <w:tcPr>
            <w:tcW w:w="960" w:type="dxa"/>
            <w:tcBorders>
              <w:top w:val="single" w:sz="8" w:space="0" w:color="000000"/>
              <w:bottom w:val="single" w:sz="4" w:space="0" w:color="000000"/>
              <w:end w:val="single" w:sz="8"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680</w:t>
            </w:r>
          </w:p>
        </w:tc>
      </w:tr>
      <w:tr>
        <w:trPr>
          <w:trHeight w:val="255" w:hRule="atLeast"/>
        </w:trPr>
        <w:tc>
          <w:tcPr>
            <w:tcW w:w="960" w:type="dxa"/>
            <w:tcBorders>
              <w:start w:val="single" w:sz="8" w:space="0" w:color="000000"/>
              <w:bottom w:val="single" w:sz="4" w:space="0" w:color="000000"/>
              <w:end w:val="single" w:sz="4" w:space="0" w:color="000000"/>
            </w:tcBorders>
            <w:vAlign w:val="bottom"/>
          </w:tcPr>
          <w:p>
            <w:pPr>
              <w:pStyle w:val="Normal"/>
              <w:jc w:val="center"/>
              <w:rPr>
                <w:rFonts w:ascii="Arial" w:hAnsi="Arial" w:eastAsia="Arial Unicode MS" w:cs="Arial"/>
                <w:b/>
                <w:bCs/>
                <w:sz w:val="14"/>
                <w:szCs w:val="18"/>
              </w:rPr>
            </w:pPr>
            <w:r>
              <w:rPr>
                <w:rFonts w:cs="Arial" w:ascii="Arial" w:hAnsi="Arial"/>
                <w:b/>
                <w:bCs/>
                <w:sz w:val="14"/>
                <w:szCs w:val="18"/>
              </w:rPr>
              <w:t>Feb-01</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670</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630</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630</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600</w:t>
            </w:r>
          </w:p>
        </w:tc>
        <w:tc>
          <w:tcPr>
            <w:tcW w:w="960" w:type="dxa"/>
            <w:tcBorders>
              <w:bottom w:val="single" w:sz="4" w:space="0" w:color="000000"/>
              <w:end w:val="single" w:sz="8"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650</w:t>
            </w:r>
          </w:p>
        </w:tc>
      </w:tr>
      <w:tr>
        <w:trPr>
          <w:trHeight w:val="255" w:hRule="atLeast"/>
        </w:trPr>
        <w:tc>
          <w:tcPr>
            <w:tcW w:w="960" w:type="dxa"/>
            <w:tcBorders>
              <w:start w:val="single" w:sz="8" w:space="0" w:color="000000"/>
              <w:bottom w:val="single" w:sz="4" w:space="0" w:color="000000"/>
              <w:end w:val="single" w:sz="4" w:space="0" w:color="000000"/>
            </w:tcBorders>
            <w:vAlign w:val="bottom"/>
          </w:tcPr>
          <w:p>
            <w:pPr>
              <w:pStyle w:val="Normal"/>
              <w:jc w:val="center"/>
              <w:rPr>
                <w:rFonts w:ascii="Arial" w:hAnsi="Arial" w:eastAsia="Arial Unicode MS" w:cs="Arial"/>
                <w:b/>
                <w:bCs/>
                <w:sz w:val="14"/>
                <w:szCs w:val="18"/>
              </w:rPr>
            </w:pPr>
            <w:r>
              <w:rPr>
                <w:rFonts w:cs="Arial" w:ascii="Arial" w:hAnsi="Arial"/>
                <w:b/>
                <w:bCs/>
                <w:sz w:val="14"/>
                <w:szCs w:val="18"/>
              </w:rPr>
              <w:t>Mar-01</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635</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585</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580</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550</w:t>
            </w:r>
          </w:p>
        </w:tc>
        <w:tc>
          <w:tcPr>
            <w:tcW w:w="960" w:type="dxa"/>
            <w:tcBorders>
              <w:bottom w:val="single" w:sz="4" w:space="0" w:color="000000"/>
              <w:end w:val="single" w:sz="8"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610</w:t>
            </w:r>
          </w:p>
        </w:tc>
      </w:tr>
      <w:tr>
        <w:trPr>
          <w:trHeight w:val="255" w:hRule="atLeast"/>
        </w:trPr>
        <w:tc>
          <w:tcPr>
            <w:tcW w:w="960" w:type="dxa"/>
            <w:tcBorders>
              <w:start w:val="single" w:sz="8" w:space="0" w:color="000000"/>
              <w:bottom w:val="single" w:sz="4" w:space="0" w:color="000000"/>
              <w:end w:val="single" w:sz="4" w:space="0" w:color="000000"/>
            </w:tcBorders>
            <w:vAlign w:val="bottom"/>
          </w:tcPr>
          <w:p>
            <w:pPr>
              <w:pStyle w:val="Normal"/>
              <w:jc w:val="center"/>
              <w:rPr>
                <w:rFonts w:ascii="Arial" w:hAnsi="Arial" w:eastAsia="Arial Unicode MS" w:cs="Arial"/>
                <w:b/>
                <w:bCs/>
                <w:sz w:val="14"/>
                <w:szCs w:val="18"/>
              </w:rPr>
            </w:pPr>
            <w:r>
              <w:rPr>
                <w:rFonts w:cs="Arial" w:ascii="Arial" w:hAnsi="Arial"/>
                <w:b/>
                <w:bCs/>
                <w:sz w:val="14"/>
                <w:szCs w:val="18"/>
              </w:rPr>
              <w:t>Apr-01</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590</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535</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530</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500</w:t>
            </w:r>
          </w:p>
        </w:tc>
        <w:tc>
          <w:tcPr>
            <w:tcW w:w="960" w:type="dxa"/>
            <w:tcBorders>
              <w:bottom w:val="single" w:sz="4" w:space="0" w:color="000000"/>
              <w:end w:val="single" w:sz="8"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580</w:t>
            </w:r>
          </w:p>
        </w:tc>
      </w:tr>
      <w:tr>
        <w:trPr>
          <w:trHeight w:val="255" w:hRule="atLeast"/>
        </w:trPr>
        <w:tc>
          <w:tcPr>
            <w:tcW w:w="960" w:type="dxa"/>
            <w:tcBorders>
              <w:start w:val="single" w:sz="8" w:space="0" w:color="000000"/>
              <w:bottom w:val="single" w:sz="4" w:space="0" w:color="000000"/>
              <w:end w:val="single" w:sz="4" w:space="0" w:color="000000"/>
            </w:tcBorders>
            <w:vAlign w:val="bottom"/>
          </w:tcPr>
          <w:p>
            <w:pPr>
              <w:pStyle w:val="Normal"/>
              <w:jc w:val="center"/>
              <w:rPr>
                <w:rFonts w:ascii="Arial" w:hAnsi="Arial" w:eastAsia="Arial Unicode MS" w:cs="Arial"/>
                <w:b/>
                <w:bCs/>
                <w:sz w:val="14"/>
                <w:szCs w:val="18"/>
              </w:rPr>
            </w:pPr>
            <w:r>
              <w:rPr>
                <w:rFonts w:cs="Arial" w:ascii="Arial" w:hAnsi="Arial"/>
                <w:b/>
                <w:bCs/>
                <w:sz w:val="14"/>
                <w:szCs w:val="18"/>
              </w:rPr>
              <w:t>May-01</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560</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490</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480</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440</w:t>
            </w:r>
          </w:p>
        </w:tc>
        <w:tc>
          <w:tcPr>
            <w:tcW w:w="960" w:type="dxa"/>
            <w:tcBorders>
              <w:bottom w:val="single" w:sz="4" w:space="0" w:color="000000"/>
              <w:end w:val="single" w:sz="8"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540</w:t>
            </w:r>
          </w:p>
        </w:tc>
      </w:tr>
      <w:tr>
        <w:trPr>
          <w:trHeight w:val="255" w:hRule="atLeast"/>
        </w:trPr>
        <w:tc>
          <w:tcPr>
            <w:tcW w:w="960" w:type="dxa"/>
            <w:tcBorders>
              <w:start w:val="single" w:sz="8" w:space="0" w:color="000000"/>
              <w:bottom w:val="single" w:sz="4" w:space="0" w:color="000000"/>
              <w:end w:val="single" w:sz="4" w:space="0" w:color="000000"/>
            </w:tcBorders>
            <w:vAlign w:val="bottom"/>
          </w:tcPr>
          <w:p>
            <w:pPr>
              <w:pStyle w:val="Normal"/>
              <w:jc w:val="center"/>
              <w:rPr>
                <w:rFonts w:ascii="Arial" w:hAnsi="Arial" w:eastAsia="Arial Unicode MS" w:cs="Arial"/>
                <w:b/>
                <w:bCs/>
                <w:sz w:val="14"/>
                <w:szCs w:val="18"/>
              </w:rPr>
            </w:pPr>
            <w:r>
              <w:rPr>
                <w:rFonts w:eastAsia="Arial" w:cs="Arial" w:ascii="Arial" w:hAnsi="Arial"/>
                <w:b/>
                <w:bCs/>
                <w:sz w:val="14"/>
                <w:szCs w:val="18"/>
              </w:rPr>
              <w:t xml:space="preserve"> </w:t>
            </w:r>
            <w:r>
              <w:rPr>
                <w:rFonts w:cs="Arial" w:ascii="Arial" w:hAnsi="Arial"/>
                <w:b/>
                <w:bCs/>
                <w:sz w:val="14"/>
                <w:szCs w:val="18"/>
              </w:rPr>
              <w:t>Jun-01</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530</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460</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450</w:t>
            </w:r>
          </w:p>
        </w:tc>
        <w:tc>
          <w:tcPr>
            <w:tcW w:w="960" w:type="dxa"/>
            <w:tcBorders>
              <w:bottom w:val="single" w:sz="4"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420</w:t>
            </w:r>
          </w:p>
        </w:tc>
        <w:tc>
          <w:tcPr>
            <w:tcW w:w="960" w:type="dxa"/>
            <w:tcBorders>
              <w:bottom w:val="single" w:sz="4" w:space="0" w:color="000000"/>
              <w:end w:val="single" w:sz="8"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500</w:t>
            </w:r>
          </w:p>
        </w:tc>
      </w:tr>
      <w:tr>
        <w:trPr>
          <w:trHeight w:val="270" w:hRule="atLeast"/>
        </w:trPr>
        <w:tc>
          <w:tcPr>
            <w:tcW w:w="960" w:type="dxa"/>
            <w:tcBorders>
              <w:start w:val="single" w:sz="8" w:space="0" w:color="000000"/>
              <w:bottom w:val="single" w:sz="8" w:space="0" w:color="000000"/>
              <w:end w:val="single" w:sz="4" w:space="0" w:color="000000"/>
            </w:tcBorders>
            <w:vAlign w:val="bottom"/>
          </w:tcPr>
          <w:p>
            <w:pPr>
              <w:pStyle w:val="Normal"/>
              <w:jc w:val="center"/>
              <w:rPr>
                <w:rFonts w:ascii="Arial" w:hAnsi="Arial" w:eastAsia="Arial Unicode MS" w:cs="Arial"/>
                <w:b/>
                <w:bCs/>
                <w:sz w:val="14"/>
                <w:szCs w:val="18"/>
              </w:rPr>
            </w:pPr>
            <w:r>
              <w:rPr>
                <w:rFonts w:cs="Arial" w:ascii="Arial" w:hAnsi="Arial"/>
                <w:b/>
                <w:bCs/>
                <w:sz w:val="14"/>
                <w:szCs w:val="18"/>
              </w:rPr>
              <w:t>Jul-01</w:t>
            </w:r>
          </w:p>
        </w:tc>
        <w:tc>
          <w:tcPr>
            <w:tcW w:w="960" w:type="dxa"/>
            <w:tcBorders>
              <w:bottom w:val="single" w:sz="8"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490</w:t>
            </w:r>
          </w:p>
        </w:tc>
        <w:tc>
          <w:tcPr>
            <w:tcW w:w="960" w:type="dxa"/>
            <w:tcBorders>
              <w:bottom w:val="single" w:sz="8"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430</w:t>
            </w:r>
          </w:p>
        </w:tc>
        <w:tc>
          <w:tcPr>
            <w:tcW w:w="960" w:type="dxa"/>
            <w:tcBorders>
              <w:bottom w:val="single" w:sz="8"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420</w:t>
            </w:r>
          </w:p>
        </w:tc>
        <w:tc>
          <w:tcPr>
            <w:tcW w:w="960" w:type="dxa"/>
            <w:tcBorders>
              <w:bottom w:val="single" w:sz="8" w:space="0" w:color="000000"/>
              <w:end w:val="single" w:sz="4"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400</w:t>
            </w:r>
          </w:p>
        </w:tc>
        <w:tc>
          <w:tcPr>
            <w:tcW w:w="960" w:type="dxa"/>
            <w:tcBorders>
              <w:bottom w:val="single" w:sz="8" w:space="0" w:color="000000"/>
              <w:end w:val="single" w:sz="8" w:space="0" w:color="000000"/>
            </w:tcBorders>
            <w:vAlign w:val="bottom"/>
          </w:tcPr>
          <w:p>
            <w:pPr>
              <w:pStyle w:val="Normal"/>
              <w:jc w:val="center"/>
              <w:rPr>
                <w:rFonts w:ascii="Arial" w:hAnsi="Arial" w:eastAsia="Arial Unicode MS" w:cs="Arial"/>
                <w:sz w:val="14"/>
                <w:szCs w:val="18"/>
              </w:rPr>
            </w:pPr>
            <w:r>
              <w:rPr>
                <w:rFonts w:cs="Arial" w:ascii="Arial" w:hAnsi="Arial"/>
                <w:sz w:val="14"/>
                <w:szCs w:val="18"/>
              </w:rPr>
              <w:t>480</w:t>
            </w:r>
          </w:p>
        </w:tc>
      </w:tr>
    </w:tbl>
    <w:p>
      <w:pPr>
        <w:pStyle w:val="Normal"/>
        <w:rPr/>
      </w:pPr>
      <w:r>
        <w:rPr/>
      </w:r>
    </w:p>
    <w:p>
      <w:pPr>
        <w:pStyle w:val="Normal"/>
        <w:rPr/>
      </w:pPr>
      <w:r>
        <w:rPr/>
      </w:r>
    </w:p>
    <w:p>
      <w:pPr>
        <w:pStyle w:val="Normal"/>
        <w:rPr/>
      </w:pPr>
      <w:r>
        <w:rPr/>
        <w:t xml:space="preserve">The Finnish Index Compiler FOEX also publishes a weekly price for NBSK and BHKP (Eucalyptus/birch). The following chart and table shows these prices averaged by month. </w:t>
      </w:r>
    </w:p>
    <w:p>
      <w:pPr>
        <w:pStyle w:val="Normal"/>
        <w:rPr/>
      </w:pPr>
      <w:r>
        <w:rPr/>
      </w:r>
    </w:p>
    <w:p>
      <w:pPr>
        <w:pStyle w:val="Normal"/>
        <w:rPr/>
      </w:pPr>
      <w:r>
        <w:rPr/>
      </w:r>
    </w:p>
    <w:tbl>
      <w:tblPr>
        <w:tblW w:w="4072" w:type="dxa"/>
        <w:jc w:val="center"/>
        <w:tblInd w:w="0" w:type="dxa"/>
        <w:tblLayout w:type="fixed"/>
        <w:tblCellMar>
          <w:top w:w="0" w:type="dxa"/>
          <w:start w:w="0" w:type="dxa"/>
          <w:bottom w:w="0" w:type="dxa"/>
          <w:end w:w="0" w:type="dxa"/>
        </w:tblCellMar>
      </w:tblPr>
      <w:tblGrid>
        <w:gridCol w:w="1428"/>
        <w:gridCol w:w="1436"/>
        <w:gridCol w:w="1208"/>
      </w:tblGrid>
      <w:tr>
        <w:trPr>
          <w:trHeight w:val="270" w:hRule="atLeast"/>
        </w:trPr>
        <w:tc>
          <w:tcPr>
            <w:tcW w:w="1428" w:type="dxa"/>
            <w:tcBorders>
              <w:top w:val="single" w:sz="8" w:space="0" w:color="000000"/>
              <w:start w:val="single" w:sz="8" w:space="0" w:color="000000"/>
            </w:tcBorders>
            <w:shd w:fill="CCFFFF" w:val="clear"/>
            <w:vAlign w:val="bottom"/>
          </w:tcPr>
          <w:p>
            <w:pPr>
              <w:pStyle w:val="Normal"/>
              <w:jc w:val="center"/>
              <w:rPr>
                <w:rFonts w:ascii="Arial" w:hAnsi="Arial" w:eastAsia="Arial Unicode MS" w:cs="Arial"/>
                <w:b/>
                <w:bCs/>
              </w:rPr>
            </w:pPr>
            <w:r>
              <w:rPr>
                <w:rFonts w:cs="Arial" w:ascii="Arial" w:hAnsi="Arial"/>
                <w:b/>
                <w:bCs/>
              </w:rPr>
              <w:t>Date</w:t>
            </w:r>
          </w:p>
        </w:tc>
        <w:tc>
          <w:tcPr>
            <w:tcW w:w="1436" w:type="dxa"/>
            <w:tcBorders>
              <w:top w:val="single" w:sz="8" w:space="0" w:color="000000"/>
            </w:tcBorders>
            <w:shd w:fill="CCFFFF" w:val="clear"/>
            <w:vAlign w:val="bottom"/>
          </w:tcPr>
          <w:p>
            <w:pPr>
              <w:pStyle w:val="Normal"/>
              <w:jc w:val="center"/>
              <w:rPr>
                <w:rFonts w:ascii="Arial" w:hAnsi="Arial" w:eastAsia="Arial Unicode MS" w:cs="Arial"/>
                <w:b/>
                <w:bCs/>
              </w:rPr>
            </w:pPr>
            <w:r>
              <w:rPr>
                <w:rFonts w:cs="Arial" w:ascii="Arial" w:hAnsi="Arial"/>
                <w:b/>
                <w:bCs/>
              </w:rPr>
              <w:t>NBSK</w:t>
            </w:r>
          </w:p>
        </w:tc>
        <w:tc>
          <w:tcPr>
            <w:tcW w:w="1208" w:type="dxa"/>
            <w:tcBorders>
              <w:top w:val="single" w:sz="8" w:space="0" w:color="000000"/>
              <w:end w:val="single" w:sz="8" w:space="0" w:color="000000"/>
            </w:tcBorders>
            <w:shd w:fill="CCFFFF" w:val="clear"/>
            <w:vAlign w:val="bottom"/>
          </w:tcPr>
          <w:p>
            <w:pPr>
              <w:pStyle w:val="Normal"/>
              <w:jc w:val="center"/>
              <w:rPr>
                <w:rFonts w:ascii="Arial" w:hAnsi="Arial" w:eastAsia="Arial Unicode MS" w:cs="Arial"/>
                <w:b/>
                <w:bCs/>
              </w:rPr>
            </w:pPr>
            <w:r>
              <w:rPr>
                <w:rFonts w:cs="Arial" w:ascii="Arial" w:hAnsi="Arial"/>
                <w:b/>
                <w:bCs/>
              </w:rPr>
              <w:t>BHKP</w:t>
            </w:r>
          </w:p>
        </w:tc>
      </w:tr>
      <w:tr>
        <w:trPr>
          <w:trHeight w:val="255" w:hRule="atLeast"/>
        </w:trPr>
        <w:tc>
          <w:tcPr>
            <w:tcW w:w="1428" w:type="dxa"/>
            <w:tcBorders>
              <w:top w:val="single" w:sz="8" w:space="0" w:color="000000"/>
              <w:start w:val="single" w:sz="8" w:space="0" w:color="000000"/>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Jan-01</w:t>
            </w:r>
          </w:p>
        </w:tc>
        <w:tc>
          <w:tcPr>
            <w:tcW w:w="1436" w:type="dxa"/>
            <w:tcBorders>
              <w:top w:val="single" w:sz="8" w:space="0" w:color="000000"/>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708.192</w:t>
            </w:r>
          </w:p>
        </w:tc>
        <w:tc>
          <w:tcPr>
            <w:tcW w:w="1208" w:type="dxa"/>
            <w:tcBorders>
              <w:top w:val="single" w:sz="8" w:space="0" w:color="000000"/>
              <w:bottom w:val="single" w:sz="4" w:space="0" w:color="000000"/>
              <w:end w:val="single" w:sz="8" w:space="0" w:color="000000"/>
            </w:tcBorders>
            <w:vAlign w:val="bottom"/>
          </w:tcPr>
          <w:p>
            <w:pPr>
              <w:pStyle w:val="Normal"/>
              <w:jc w:val="center"/>
              <w:rPr>
                <w:rFonts w:ascii="Arial" w:hAnsi="Arial" w:eastAsia="Arial Unicode MS" w:cs="Arial"/>
                <w:sz w:val="16"/>
                <w:szCs w:val="16"/>
              </w:rPr>
            </w:pPr>
            <w:r>
              <w:rPr>
                <w:rFonts w:eastAsia="Arial Unicode MS" w:cs="Arial" w:ascii="Arial" w:hAnsi="Arial"/>
                <w:sz w:val="16"/>
                <w:szCs w:val="16"/>
              </w:rPr>
              <w:t>NA</w:t>
            </w:r>
          </w:p>
        </w:tc>
      </w:tr>
      <w:tr>
        <w:trPr>
          <w:trHeight w:val="255" w:hRule="atLeast"/>
        </w:trPr>
        <w:tc>
          <w:tcPr>
            <w:tcW w:w="1428" w:type="dxa"/>
            <w:tcBorders>
              <w:start w:val="single" w:sz="8" w:space="0" w:color="000000"/>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Feb-01</w:t>
            </w:r>
          </w:p>
        </w:tc>
        <w:tc>
          <w:tcPr>
            <w:tcW w:w="143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677.445</w:t>
            </w:r>
          </w:p>
        </w:tc>
        <w:tc>
          <w:tcPr>
            <w:tcW w:w="1208" w:type="dxa"/>
            <w:tcBorders>
              <w:bottom w:val="single" w:sz="4" w:space="0" w:color="000000"/>
              <w:end w:val="single" w:sz="8" w:space="0" w:color="000000"/>
            </w:tcBorders>
            <w:vAlign w:val="bottom"/>
          </w:tcPr>
          <w:p>
            <w:pPr>
              <w:pStyle w:val="Normal"/>
              <w:jc w:val="center"/>
              <w:rPr>
                <w:rFonts w:ascii="Arial" w:hAnsi="Arial" w:eastAsia="Arial Unicode MS" w:cs="Arial"/>
                <w:sz w:val="16"/>
                <w:szCs w:val="16"/>
              </w:rPr>
            </w:pPr>
            <w:r>
              <w:rPr>
                <w:rFonts w:eastAsia="Arial Unicode MS" w:cs="Arial" w:ascii="Arial" w:hAnsi="Arial"/>
                <w:sz w:val="16"/>
                <w:szCs w:val="16"/>
              </w:rPr>
              <w:t>NA</w:t>
            </w:r>
          </w:p>
        </w:tc>
      </w:tr>
      <w:tr>
        <w:trPr>
          <w:trHeight w:val="255" w:hRule="atLeast"/>
        </w:trPr>
        <w:tc>
          <w:tcPr>
            <w:tcW w:w="1428" w:type="dxa"/>
            <w:tcBorders>
              <w:start w:val="single" w:sz="8" w:space="0" w:color="000000"/>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Mar-01</w:t>
            </w:r>
          </w:p>
        </w:tc>
        <w:tc>
          <w:tcPr>
            <w:tcW w:w="143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636.1625</w:t>
            </w:r>
          </w:p>
        </w:tc>
        <w:tc>
          <w:tcPr>
            <w:tcW w:w="1208" w:type="dxa"/>
            <w:tcBorders>
              <w:bottom w:val="single" w:sz="4" w:space="0" w:color="000000"/>
              <w:end w:val="single" w:sz="8" w:space="0" w:color="000000"/>
            </w:tcBorders>
            <w:vAlign w:val="bottom"/>
          </w:tcPr>
          <w:p>
            <w:pPr>
              <w:pStyle w:val="Normal"/>
              <w:jc w:val="center"/>
              <w:rPr>
                <w:rFonts w:ascii="Arial" w:hAnsi="Arial" w:eastAsia="Arial Unicode MS" w:cs="Arial"/>
                <w:sz w:val="16"/>
                <w:szCs w:val="16"/>
              </w:rPr>
            </w:pPr>
            <w:r>
              <w:rPr>
                <w:rFonts w:eastAsia="Arial Unicode MS" w:cs="Arial" w:ascii="Arial" w:hAnsi="Arial"/>
                <w:sz w:val="16"/>
                <w:szCs w:val="16"/>
              </w:rPr>
              <w:t>NA</w:t>
            </w:r>
          </w:p>
        </w:tc>
      </w:tr>
      <w:tr>
        <w:trPr>
          <w:trHeight w:val="255" w:hRule="atLeast"/>
        </w:trPr>
        <w:tc>
          <w:tcPr>
            <w:tcW w:w="1428" w:type="dxa"/>
            <w:tcBorders>
              <w:start w:val="single" w:sz="8" w:space="0" w:color="000000"/>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Apr-01</w:t>
            </w:r>
          </w:p>
        </w:tc>
        <w:tc>
          <w:tcPr>
            <w:tcW w:w="143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596.4925</w:t>
            </w:r>
          </w:p>
        </w:tc>
        <w:tc>
          <w:tcPr>
            <w:tcW w:w="1208" w:type="dxa"/>
            <w:tcBorders>
              <w:bottom w:val="single" w:sz="4" w:space="0" w:color="000000"/>
              <w:end w:val="single" w:sz="8" w:space="0" w:color="000000"/>
            </w:tcBorders>
            <w:vAlign w:val="bottom"/>
          </w:tcPr>
          <w:p>
            <w:pPr>
              <w:pStyle w:val="Normal"/>
              <w:jc w:val="center"/>
              <w:rPr>
                <w:rFonts w:ascii="Arial" w:hAnsi="Arial" w:eastAsia="Arial Unicode MS" w:cs="Arial"/>
                <w:sz w:val="16"/>
                <w:szCs w:val="16"/>
              </w:rPr>
            </w:pPr>
            <w:r>
              <w:rPr>
                <w:rFonts w:eastAsia="Arial Unicode MS" w:cs="Arial" w:ascii="Arial" w:hAnsi="Arial"/>
                <w:sz w:val="16"/>
                <w:szCs w:val="16"/>
              </w:rPr>
              <w:t>NA</w:t>
            </w:r>
          </w:p>
        </w:tc>
      </w:tr>
      <w:tr>
        <w:trPr>
          <w:trHeight w:val="255" w:hRule="atLeast"/>
        </w:trPr>
        <w:tc>
          <w:tcPr>
            <w:tcW w:w="1428" w:type="dxa"/>
            <w:tcBorders>
              <w:start w:val="single" w:sz="8" w:space="0" w:color="000000"/>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May-01</w:t>
            </w:r>
          </w:p>
        </w:tc>
        <w:tc>
          <w:tcPr>
            <w:tcW w:w="143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559.124</w:t>
            </w:r>
          </w:p>
        </w:tc>
        <w:tc>
          <w:tcPr>
            <w:tcW w:w="1208" w:type="dxa"/>
            <w:tcBorders>
              <w:bottom w:val="single" w:sz="4" w:space="0" w:color="000000"/>
              <w:end w:val="single" w:sz="8"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500.266</w:t>
            </w:r>
          </w:p>
        </w:tc>
      </w:tr>
      <w:tr>
        <w:trPr>
          <w:trHeight w:val="255" w:hRule="atLeast"/>
        </w:trPr>
        <w:tc>
          <w:tcPr>
            <w:tcW w:w="1428" w:type="dxa"/>
            <w:tcBorders>
              <w:start w:val="single" w:sz="8" w:space="0" w:color="000000"/>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Jun-01</w:t>
            </w:r>
          </w:p>
        </w:tc>
        <w:tc>
          <w:tcPr>
            <w:tcW w:w="143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520.8825</w:t>
            </w:r>
          </w:p>
        </w:tc>
        <w:tc>
          <w:tcPr>
            <w:tcW w:w="1208" w:type="dxa"/>
            <w:tcBorders>
              <w:bottom w:val="single" w:sz="4" w:space="0" w:color="000000"/>
              <w:end w:val="single" w:sz="8"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453.3525</w:t>
            </w:r>
          </w:p>
        </w:tc>
      </w:tr>
      <w:tr>
        <w:trPr>
          <w:trHeight w:val="270" w:hRule="atLeast"/>
        </w:trPr>
        <w:tc>
          <w:tcPr>
            <w:tcW w:w="1428" w:type="dxa"/>
            <w:tcBorders>
              <w:start w:val="single" w:sz="8" w:space="0" w:color="000000"/>
              <w:bottom w:val="single" w:sz="8"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Jul-01</w:t>
            </w:r>
          </w:p>
        </w:tc>
        <w:tc>
          <w:tcPr>
            <w:tcW w:w="1436" w:type="dxa"/>
            <w:tcBorders>
              <w:bottom w:val="single" w:sz="8"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483.162</w:t>
            </w:r>
          </w:p>
        </w:tc>
        <w:tc>
          <w:tcPr>
            <w:tcW w:w="1208" w:type="dxa"/>
            <w:tcBorders>
              <w:bottom w:val="single" w:sz="8" w:space="0" w:color="000000"/>
              <w:end w:val="single" w:sz="8"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410.558</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Demand</w:t>
      </w:r>
    </w:p>
    <w:p>
      <w:pPr>
        <w:pStyle w:val="Normal"/>
        <w:rPr/>
      </w:pPr>
      <w:r>
        <w:rPr/>
        <w:t xml:space="preserve">Demand for pulp has generally shown significant signs of weakness this year and has been one of the main drivers behind the low prices. Heavy downtime has been taken in the paper sector for the third quarter and big paper companies like Sappi and M-real continue to announce extended period of downtime. This general weakness in demand for paper has been attributed to the weak economic conditions worldwide, which in return has brought a decline in advertising lineage in magazines.  These conditions continue to depress the market pulp.  Also demand for paper is low during the summer months and is expected to pick up in the fall with the start of the school season. </w:t>
      </w:r>
    </w:p>
    <w:p>
      <w:pPr>
        <w:pStyle w:val="Normal"/>
        <w:rPr/>
      </w:pPr>
      <w:r>
        <w:rPr/>
      </w:r>
    </w:p>
    <w:p>
      <w:pPr>
        <w:pStyle w:val="Heading1"/>
        <w:ind w:hanging="0" w:start="0"/>
        <w:rPr/>
      </w:pPr>
      <w:r>
        <w:rPr/>
        <w:t>Supply</w:t>
      </w:r>
    </w:p>
    <w:p>
      <w:pPr>
        <w:pStyle w:val="Normal"/>
        <w:rPr/>
      </w:pPr>
      <w:r>
        <w:rPr/>
      </w:r>
    </w:p>
    <w:p>
      <w:pPr>
        <w:pStyle w:val="Normal"/>
        <w:rPr/>
      </w:pPr>
      <w:r>
        <w:rPr/>
        <w:t>June production of 2.659 million tonnes was down 5.6 percent vs. year-ago results of 2.818 million tonnes, and dipped compared to last month. Meanwhile, Global shipments rose to the highest year-to-date close. World shipments totaled 2.830 million tonnes in June, down only 3 percent from year-ago results of 2,919 tonnes.  June operation rate</w:t>
      </w:r>
      <w:r>
        <w:rPr>
          <w:b/>
          <w:bCs/>
          <w:i/>
          <w:iCs/>
        </w:rPr>
        <w:t xml:space="preserve"> </w:t>
      </w:r>
      <w:r>
        <w:rPr/>
        <w:t>was 88 percent of capacity, a 6 percent jump from May production but down 8 percent compared to the same time last year. The shipment-to-capacity ratio, considered an indicator of producer discipline, jumped 7 points over the prior month to close June at 94 percent, PPPC reported.</w:t>
      </w:r>
    </w:p>
    <w:p>
      <w:pPr>
        <w:pStyle w:val="Normal"/>
        <w:rPr/>
      </w:pPr>
      <w:r>
        <w:rPr/>
      </w:r>
    </w:p>
    <w:p>
      <w:pPr>
        <w:pStyle w:val="Normal"/>
        <w:rPr/>
      </w:pPr>
      <w:r>
        <w:rPr/>
        <w:t xml:space="preserve">As much as 800,000 tonnes of downtime is announced for the third quarter.                                                                                                                 </w:t>
      </w:r>
    </w:p>
    <w:p>
      <w:pPr>
        <w:pStyle w:val="Heading1"/>
        <w:ind w:hanging="0" w:start="0"/>
        <w:rPr/>
      </w:pPr>
      <w:r>
        <w:rPr/>
      </w:r>
    </w:p>
    <w:p>
      <w:pPr>
        <w:pStyle w:val="Heading1"/>
        <w:ind w:hanging="0" w:start="0"/>
        <w:rPr/>
      </w:pPr>
      <w:r>
        <w:rPr/>
      </w:r>
    </w:p>
    <w:p>
      <w:pPr>
        <w:pStyle w:val="Heading1"/>
        <w:ind w:hanging="0" w:start="0"/>
        <w:rPr/>
      </w:pPr>
      <w:r>
        <w:rPr/>
        <w:t>Inventories</w:t>
      </w:r>
    </w:p>
    <w:p>
      <w:pPr>
        <w:pStyle w:val="Normal"/>
        <w:rPr/>
      </w:pPr>
      <w:r>
        <w:rPr/>
      </w:r>
    </w:p>
    <w:p>
      <w:pPr>
        <w:pStyle w:val="Normal"/>
        <w:rPr/>
      </w:pPr>
      <w:r>
        <w:rPr/>
        <w:t xml:space="preserve">June producer inventories for chemical paper-grade market pulp declined for the fourth month in a row, down 171,000 tonnes from the previous month. The reduction is a 4.6 percent drop from May results, which followed a 4.3 percent drop the month prior. World producer stocks closed June at 3.528 million tonnes or 74.8 percent higher than the same period one year ago. Producer inventory levels represented 39 days of supply in June, three days fewer than in May. That compares to year-ago results when world producers held 22 days of supply.    </w:t>
      </w:r>
    </w:p>
    <w:p>
      <w:pPr>
        <w:pStyle w:val="Normal"/>
        <w:rPr/>
      </w:pPr>
      <w:r>
        <w:rPr/>
      </w:r>
    </w:p>
    <w:p>
      <w:pPr>
        <w:pStyle w:val="Heading1"/>
        <w:ind w:hanging="0" w:start="0"/>
        <w:rPr/>
      </w:pPr>
      <w:r>
        <w:rPr/>
        <w:t>Trade Flows</w:t>
      </w:r>
    </w:p>
    <w:p>
      <w:pPr>
        <w:pStyle w:val="Normal"/>
        <w:rPr/>
      </w:pPr>
      <w:r>
        <w:rPr/>
        <w:t>Norscan shipments to Asia/Africa have been very volatile as dealers have had to compete with lower cost producers from countries such as Brazil, Indonesia, and Chile. Shipments to Japan continue to decrease due to low-priced imports from low-cost producer countries as well as due to the recession in the Japanese economy. In total the Norscan shipments to Asia have tended to decline over the 1995-2001 period. In terms of numbers, 50 percent of Indonesia’s production is exported to China, while the figure is 40-50 percent for Russia.</w:t>
      </w:r>
    </w:p>
    <w:p>
      <w:pPr>
        <w:pStyle w:val="Normal"/>
        <w:rPr/>
      </w:pPr>
      <w:r>
        <w:rPr/>
      </w:r>
    </w:p>
    <w:p>
      <w:pPr>
        <w:pStyle w:val="Normal"/>
        <w:rPr/>
      </w:pPr>
      <w:r>
        <w:rPr/>
      </w:r>
    </w:p>
    <w:p>
      <w:pPr>
        <w:pStyle w:val="Normal"/>
        <w:rPr/>
      </w:pPr>
      <w:r>
        <w:rPr/>
      </w:r>
    </w:p>
    <w:p>
      <w:pPr>
        <w:pStyle w:val="Normal"/>
        <w:rPr/>
      </w:pPr>
      <w:r>
        <w:rPr/>
      </w:r>
    </w:p>
    <w:p>
      <w:pPr>
        <w:pStyle w:val="Normal"/>
        <w:rPr>
          <w:b/>
          <w:bCs/>
          <w:i/>
          <w:i/>
          <w:iCs/>
        </w:rPr>
      </w:pPr>
      <w:r>
        <w:rPr>
          <w:b/>
          <w:bCs/>
          <w:i/>
          <w:iCs/>
        </w:rPr>
        <w:t>Price outlook</w:t>
      </w:r>
    </w:p>
    <w:p>
      <w:pPr>
        <w:pStyle w:val="Normal"/>
        <w:rPr>
          <w:b/>
          <w:bCs/>
          <w:i/>
          <w:i/>
          <w:iCs/>
        </w:rPr>
      </w:pPr>
      <w:r>
        <w:rPr>
          <w:b/>
          <w:bCs/>
          <w:i/>
          <w:iCs/>
        </w:rPr>
      </w:r>
    </w:p>
    <w:p>
      <w:pPr>
        <w:pStyle w:val="Normal"/>
        <w:rPr/>
      </w:pPr>
      <w:r>
        <w:rPr/>
        <w:t xml:space="preserve">As a result of expected increase in demand for pulp in the fall, and producer discipline in the downtime analysts believe that prices may reach their bottom and hold there over the next two months or so. Many analysts also link this possibility of price recovery to the economic conditions. Generally speaking, during strong economic conditions, demand for paper is higher. This in turn will push the demand for pulp higher. Assuming that these conditions hold true a price recovery is expected late this year or by early next year.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i/>
      <w:iCs/>
    </w:rPr>
  </w:style>
  <w:style w:type="paragraph" w:styleId="Heading7">
    <w:name w:val="heading 7"/>
    <w:basedOn w:val="Normal"/>
    <w:next w:val="Normal"/>
    <w:qFormat/>
    <w:pPr>
      <w:keepNext w:val="true"/>
      <w:numPr>
        <w:ilvl w:val="6"/>
        <w:numId w:val="1"/>
      </w:numPr>
      <w:jc w:val="center"/>
      <w:outlineLvl w:val="6"/>
    </w:pPr>
    <w:rPr>
      <w:b/>
      <w:bCs/>
      <w:sz w:val="14"/>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2001-08-03T10:08:00Z</dcterms:created>
  <dc:creator>Monika Causholli</dc:creator>
  <dc:description/>
  <dc:language>en-CA</dc:language>
  <cp:lastModifiedBy>mcaushol</cp:lastModifiedBy>
  <cp:lastPrinted>2001-08-03T07:50:00Z</cp:lastPrinted>
  <dcterms:modified xsi:type="dcterms:W3CDTF">2001-08-03T13:52:00Z</dcterms:modified>
  <cp:revision>12</cp:revision>
  <dc:subject/>
  <dc:title>Monthly Summary for Pulp</dc:title>
</cp:coreProperties>
</file>