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footnotes.xml" ContentType="application/vnd.openxmlformats-officedocument.wordprocessingml.footnotes+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bodytext-indent"/>
        <w:spacing w:lineRule="auto" w:line="240"/>
        <w:ind w:firstLine="720" w:start="2160" w:end="0"/>
        <w:rPr>
          <w:rFonts w:ascii="Arial" w:hAnsi="Arial" w:cs="Arial"/>
          <w:b/>
        </w:rPr>
      </w:pPr>
      <w:r>
        <w:rPr>
          <w:rFonts w:cs="Arial" w:ascii="Arial" w:hAnsi="Arial"/>
          <w:b/>
        </w:rPr>
        <w:t>UNITED STATES OF AMERICA</w:t>
      </w:r>
    </w:p>
    <w:p>
      <w:pPr>
        <w:pStyle w:val="bodytext-indent"/>
        <w:spacing w:lineRule="auto" w:line="240"/>
        <w:ind w:hanging="0" w:end="0"/>
        <w:jc w:val="center"/>
        <w:rPr>
          <w:rFonts w:ascii="Arial" w:hAnsi="Arial" w:cs="Arial"/>
          <w:b/>
        </w:rPr>
      </w:pPr>
      <w:r>
        <w:rPr>
          <w:rFonts w:cs="Arial" w:ascii="Arial" w:hAnsi="Arial"/>
          <w:b/>
        </w:rPr>
        <w:t xml:space="preserve">BEFORE THE </w:t>
      </w:r>
    </w:p>
    <w:p>
      <w:pPr>
        <w:pStyle w:val="bodytext-indent"/>
        <w:spacing w:lineRule="auto" w:line="240"/>
        <w:ind w:hanging="0" w:end="0"/>
        <w:jc w:val="center"/>
        <w:rPr>
          <w:rFonts w:ascii="Arial" w:hAnsi="Arial" w:cs="Arial"/>
          <w:b/>
        </w:rPr>
      </w:pPr>
      <w:r>
        <w:rPr>
          <w:rFonts w:cs="Arial" w:ascii="Arial" w:hAnsi="Arial"/>
          <w:b/>
        </w:rPr>
        <w:t>FEDERAL ENERGY REGULATORY COMMISSION</w:t>
      </w:r>
    </w:p>
    <w:p>
      <w:pPr>
        <w:pStyle w:val="bodytext-indent"/>
        <w:spacing w:lineRule="auto" w:line="240"/>
        <w:ind w:hanging="0" w:end="0"/>
        <w:jc w:val="center"/>
        <w:rPr>
          <w:rFonts w:ascii="Arial" w:hAnsi="Arial" w:cs="Arial"/>
          <w:b/>
        </w:rPr>
      </w:pPr>
      <w:r>
        <w:rPr>
          <w:rFonts w:cs="Arial" w:ascii="Arial" w:hAnsi="Arial"/>
          <w:b/>
        </w:rPr>
      </w:r>
    </w:p>
    <w:p>
      <w:pPr>
        <w:pStyle w:val="bodytext-indent"/>
        <w:spacing w:lineRule="auto" w:line="240"/>
        <w:ind w:hanging="0" w:end="0"/>
        <w:jc w:val="center"/>
        <w:rPr>
          <w:rFonts w:ascii="Arial" w:hAnsi="Arial" w:cs="Arial"/>
          <w:b/>
        </w:rPr>
      </w:pPr>
      <w:r>
        <w:rPr>
          <w:rFonts w:cs="Arial" w:ascii="Arial" w:hAnsi="Arial"/>
          <w:b/>
        </w:rPr>
      </w:r>
    </w:p>
    <w:p>
      <w:pPr>
        <w:pStyle w:val="bodytext-indent"/>
        <w:spacing w:lineRule="auto" w:line="240"/>
        <w:ind w:hanging="0" w:end="0"/>
        <w:rPr>
          <w:rFonts w:ascii="Arial" w:hAnsi="Arial" w:cs="Arial"/>
        </w:rPr>
      </w:pPr>
      <w:r>
        <w:rPr>
          <w:rFonts w:cs="Arial" w:ascii="Arial" w:hAnsi="Arial"/>
        </w:rPr>
        <w:t>San Diego Gas &amp; Electric Company</w:t>
        <w:tab/>
        <w:tab/>
        <w:t>)</w:t>
      </w:r>
    </w:p>
    <w:p>
      <w:pPr>
        <w:pStyle w:val="bodytext-indent"/>
        <w:spacing w:lineRule="auto" w:line="240"/>
        <w:ind w:firstLine="720" w:start="1440" w:end="0"/>
        <w:rPr>
          <w:rFonts w:ascii="Arial" w:hAnsi="Arial" w:cs="Arial"/>
        </w:rPr>
      </w:pPr>
      <w:r>
        <w:rPr>
          <w:rFonts w:cs="Arial" w:ascii="Arial" w:hAnsi="Arial"/>
        </w:rPr>
        <w:t>Complainant</w:t>
        <w:tab/>
        <w:tab/>
        <w:tab/>
        <w:t>)</w:t>
      </w:r>
    </w:p>
    <w:p>
      <w:pPr>
        <w:pStyle w:val="bodytext-indent"/>
        <w:spacing w:lineRule="auto" w:line="240"/>
        <w:ind w:hanging="0" w:end="0"/>
        <w:rPr>
          <w:rFonts w:ascii="Arial" w:hAnsi="Arial" w:cs="Arial"/>
        </w:rPr>
      </w:pPr>
      <w:r>
        <w:rPr>
          <w:rFonts w:cs="Arial" w:ascii="Arial" w:hAnsi="Arial"/>
        </w:rPr>
        <w:tab/>
        <w:tab/>
        <w:tab/>
        <w:t>v.</w:t>
        <w:tab/>
        <w:tab/>
        <w:tab/>
        <w:tab/>
        <w:t>)    Docket No. EL00-95-031</w:t>
      </w:r>
    </w:p>
    <w:p>
      <w:pPr>
        <w:pStyle w:val="bodytext-indent"/>
        <w:spacing w:lineRule="auto" w:line="240"/>
        <w:ind w:hanging="0" w:end="0"/>
        <w:rPr>
          <w:rFonts w:ascii="Arial" w:hAnsi="Arial" w:cs="Arial"/>
          <w:i/>
          <w:i/>
        </w:rPr>
      </w:pPr>
      <w:r>
        <w:rPr>
          <w:rFonts w:cs="Arial" w:ascii="Arial" w:hAnsi="Arial"/>
        </w:rPr>
        <w:t xml:space="preserve">Sellers of Energy and Ancillary Services </w:t>
        <w:tab/>
        <w:t>)</w:t>
        <w:tab/>
        <w:tab/>
        <w:tab/>
      </w:r>
    </w:p>
    <w:p>
      <w:pPr>
        <w:pStyle w:val="bodytext-indent"/>
        <w:spacing w:lineRule="auto" w:line="240"/>
        <w:ind w:hanging="0" w:end="0"/>
        <w:rPr>
          <w:rFonts w:ascii="Arial" w:hAnsi="Arial" w:cs="Arial"/>
        </w:rPr>
      </w:pPr>
      <w:r>
        <w:rPr>
          <w:rFonts w:cs="Arial" w:ascii="Arial" w:hAnsi="Arial"/>
        </w:rPr>
        <w:t>Into Markets Operated by the California</w:t>
        <w:tab/>
        <w:tab/>
        <w:t>)</w:t>
      </w:r>
    </w:p>
    <w:p>
      <w:pPr>
        <w:pStyle w:val="bodytext-indent"/>
        <w:spacing w:lineRule="auto" w:line="240"/>
        <w:ind w:hanging="0" w:end="0"/>
        <w:rPr>
          <w:rFonts w:ascii="Arial" w:hAnsi="Arial" w:cs="Arial"/>
        </w:rPr>
      </w:pPr>
      <w:r>
        <w:rPr>
          <w:rFonts w:cs="Arial" w:ascii="Arial" w:hAnsi="Arial"/>
        </w:rPr>
        <w:t xml:space="preserve">Independent System Operator and the </w:t>
        <w:tab/>
        <w:tab/>
        <w:t>)</w:t>
      </w:r>
    </w:p>
    <w:p>
      <w:pPr>
        <w:pStyle w:val="bodytext-indent"/>
        <w:spacing w:lineRule="auto" w:line="240"/>
        <w:ind w:hanging="0" w:end="0"/>
        <w:rPr>
          <w:rFonts w:ascii="Arial" w:hAnsi="Arial" w:cs="Arial"/>
        </w:rPr>
      </w:pPr>
      <w:r>
        <w:rPr>
          <w:rFonts w:cs="Arial" w:ascii="Arial" w:hAnsi="Arial"/>
        </w:rPr>
        <w:t>California Power Exchange</w:t>
        <w:tab/>
        <w:tab/>
        <w:tab/>
        <w:t>)</w:t>
        <w:tab/>
        <w:tab/>
        <w:tab/>
        <w:tab/>
      </w:r>
    </w:p>
    <w:p>
      <w:pPr>
        <w:pStyle w:val="bodytext-indent"/>
        <w:spacing w:lineRule="auto" w:line="240"/>
        <w:ind w:hanging="0" w:end="0"/>
        <w:rPr>
          <w:rFonts w:ascii="Arial" w:hAnsi="Arial" w:cs="Arial"/>
        </w:rPr>
      </w:pPr>
      <w:r>
        <w:rPr>
          <w:rFonts w:cs="Arial" w:ascii="Arial" w:hAnsi="Arial"/>
        </w:rPr>
        <w:tab/>
        <w:tab/>
        <w:tab/>
        <w:t xml:space="preserve">Respondents.  </w:t>
        <w:tab/>
        <w:tab/>
        <w:t>)</w:t>
      </w:r>
    </w:p>
    <w:p>
      <w:pPr>
        <w:pStyle w:val="bodytext-indent"/>
        <w:spacing w:lineRule="auto" w:line="240"/>
        <w:ind w:hanging="0" w:end="0"/>
        <w:rPr>
          <w:rFonts w:ascii="Arial" w:hAnsi="Arial" w:cs="Arial"/>
        </w:rPr>
      </w:pPr>
      <w:r>
        <w:rPr>
          <w:rFonts w:cs="Arial" w:ascii="Arial" w:hAnsi="Arial"/>
        </w:rPr>
      </w:r>
    </w:p>
    <w:p>
      <w:pPr>
        <w:pStyle w:val="bodytext-indent"/>
        <w:spacing w:lineRule="auto" w:line="240"/>
        <w:ind w:hanging="0" w:end="0"/>
        <w:rPr>
          <w:rFonts w:ascii="Arial" w:hAnsi="Arial" w:cs="Arial"/>
        </w:rPr>
      </w:pPr>
      <w:r>
        <w:rPr>
          <w:rFonts w:cs="Arial" w:ascii="Arial" w:hAnsi="Arial"/>
        </w:rPr>
        <w:t>Investigation of Practices of the California</w:t>
        <w:tab/>
        <w:t>)</w:t>
      </w:r>
    </w:p>
    <w:p>
      <w:pPr>
        <w:pStyle w:val="bodytext-indent"/>
        <w:spacing w:lineRule="auto" w:line="240"/>
        <w:ind w:hanging="0" w:end="0"/>
        <w:rPr>
          <w:rFonts w:ascii="Arial" w:hAnsi="Arial" w:cs="Arial"/>
        </w:rPr>
      </w:pPr>
      <w:r>
        <w:rPr>
          <w:rFonts w:cs="Arial" w:ascii="Arial" w:hAnsi="Arial"/>
        </w:rPr>
        <w:t xml:space="preserve">Independent System Operator and the </w:t>
        <w:tab/>
        <w:tab/>
        <w:t>)    Docket Nos. EL00-98-03 and</w:t>
      </w:r>
    </w:p>
    <w:p>
      <w:pPr>
        <w:pStyle w:val="bodytext-indent"/>
        <w:spacing w:lineRule="auto" w:line="240"/>
        <w:ind w:hanging="0" w:end="0"/>
        <w:rPr>
          <w:rFonts w:ascii="Arial" w:hAnsi="Arial" w:cs="Arial"/>
        </w:rPr>
      </w:pPr>
      <w:r>
        <w:rPr>
          <w:rFonts w:cs="Arial" w:ascii="Arial" w:hAnsi="Arial"/>
        </w:rPr>
        <w:t>California Power Exchange</w:t>
        <w:tab/>
        <w:tab/>
        <w:tab/>
        <w:t>)</w:t>
        <w:tab/>
        <w:tab/>
        <w:tab/>
        <w:t>EL00-98-033</w:t>
      </w:r>
    </w:p>
    <w:p>
      <w:pPr>
        <w:pStyle w:val="bodytext-indent"/>
        <w:spacing w:lineRule="auto" w:line="240"/>
        <w:ind w:hanging="0" w:end="0"/>
        <w:rPr>
          <w:rFonts w:ascii="Arial" w:hAnsi="Arial" w:cs="Arial"/>
        </w:rPr>
      </w:pPr>
      <w:r>
        <w:rPr>
          <w:rFonts w:cs="Arial" w:ascii="Arial" w:hAnsi="Arial"/>
        </w:rPr>
      </w:r>
    </w:p>
    <w:p>
      <w:pPr>
        <w:pStyle w:val="bodytext-indent"/>
        <w:spacing w:lineRule="auto" w:line="240"/>
        <w:ind w:hanging="0" w:end="0"/>
        <w:rPr>
          <w:rFonts w:ascii="Arial" w:hAnsi="Arial" w:cs="Arial"/>
        </w:rPr>
      </w:pPr>
      <w:r>
        <w:rPr>
          <w:rFonts w:cs="Arial" w:ascii="Arial" w:hAnsi="Arial"/>
        </w:rPr>
        <w:t>California Independent System Operator</w:t>
        <w:tab/>
        <w:tab/>
        <w:t>)    Docket No. RT01-85-000 and</w:t>
      </w:r>
    </w:p>
    <w:p>
      <w:pPr>
        <w:pStyle w:val="bodytext-indent"/>
        <w:spacing w:lineRule="auto" w:line="240"/>
        <w:ind w:hanging="0" w:end="0"/>
        <w:rPr>
          <w:rFonts w:ascii="Arial" w:hAnsi="Arial" w:cs="Arial"/>
        </w:rPr>
      </w:pPr>
      <w:r>
        <w:rPr>
          <w:rFonts w:cs="Arial" w:ascii="Arial" w:hAnsi="Arial"/>
        </w:rPr>
        <w:t>Corporation</w:t>
        <w:tab/>
        <w:tab/>
        <w:tab/>
        <w:tab/>
        <w:tab/>
        <w:tab/>
        <w:t>)</w:t>
        <w:tab/>
        <w:tab/>
        <w:tab/>
        <w:t>RT01-85-001</w:t>
      </w:r>
    </w:p>
    <w:p>
      <w:pPr>
        <w:pStyle w:val="bodytext-indent"/>
        <w:spacing w:lineRule="auto" w:line="240"/>
        <w:ind w:hanging="0" w:end="0"/>
        <w:rPr>
          <w:rFonts w:ascii="Arial" w:hAnsi="Arial" w:cs="Arial"/>
        </w:rPr>
      </w:pPr>
      <w:r>
        <w:rPr>
          <w:rFonts w:cs="Arial" w:ascii="Arial" w:hAnsi="Arial"/>
        </w:rPr>
      </w:r>
    </w:p>
    <w:p>
      <w:pPr>
        <w:pStyle w:val="bodytext-indent"/>
        <w:spacing w:lineRule="auto" w:line="240"/>
        <w:ind w:hanging="0" w:end="0"/>
        <w:rPr>
          <w:rFonts w:ascii="Arial" w:hAnsi="Arial" w:cs="Arial"/>
        </w:rPr>
      </w:pPr>
      <w:r>
        <w:rPr>
          <w:rFonts w:cs="Arial" w:ascii="Arial" w:hAnsi="Arial"/>
        </w:rPr>
        <w:t>Investigation of Wholesale Rates of Public</w:t>
        <w:tab/>
        <w:t>)</w:t>
      </w:r>
    </w:p>
    <w:p>
      <w:pPr>
        <w:pStyle w:val="bodytext-indent"/>
        <w:spacing w:lineRule="auto" w:line="240"/>
        <w:ind w:hanging="0" w:end="0"/>
        <w:rPr>
          <w:rFonts w:ascii="Arial" w:hAnsi="Arial" w:cs="Arial"/>
        </w:rPr>
      </w:pPr>
      <w:r>
        <w:rPr>
          <w:rFonts w:cs="Arial" w:ascii="Arial" w:hAnsi="Arial"/>
        </w:rPr>
        <w:t>Utility Sellers of Energy and Ancillary Services</w:t>
        <w:tab/>
        <w:t>)    Docket No. EL01-68-000 and</w:t>
      </w:r>
    </w:p>
    <w:p>
      <w:pPr>
        <w:pStyle w:val="bodytext-indent"/>
        <w:spacing w:lineRule="auto" w:line="240"/>
        <w:ind w:hanging="0" w:end="0"/>
        <w:rPr>
          <w:rFonts w:ascii="Arial" w:hAnsi="Arial" w:cs="Arial"/>
        </w:rPr>
      </w:pPr>
      <w:r>
        <w:rPr>
          <w:rFonts w:cs="Arial" w:ascii="Arial" w:hAnsi="Arial"/>
        </w:rPr>
        <w:t>In the Western System Coordinating Council</w:t>
        <w:tab/>
        <w:t>)</w:t>
        <w:tab/>
        <w:tab/>
        <w:tab/>
        <w:t>EL01-68-001</w:t>
      </w:r>
    </w:p>
    <w:p>
      <w:pPr>
        <w:pStyle w:val="bodytext-indent"/>
        <w:spacing w:lineRule="auto" w:line="240"/>
        <w:ind w:hanging="0" w:end="0"/>
        <w:rPr>
          <w:rFonts w:ascii="Arial" w:hAnsi="Arial" w:cs="Arial"/>
        </w:rPr>
      </w:pPr>
      <w:r>
        <w:rPr>
          <w:rFonts w:cs="Arial" w:ascii="Arial" w:hAnsi="Arial"/>
        </w:rPr>
      </w:r>
    </w:p>
    <w:p>
      <w:pPr>
        <w:pStyle w:val="bodytext-indent"/>
        <w:spacing w:lineRule="auto" w:line="240"/>
        <w:ind w:hanging="0" w:end="0"/>
        <w:rPr>
          <w:rFonts w:ascii="Arial" w:hAnsi="Arial" w:cs="Arial"/>
        </w:rPr>
      </w:pPr>
      <w:r>
        <w:rPr>
          <w:rFonts w:cs="Arial" w:ascii="Arial" w:hAnsi="Arial"/>
        </w:rPr>
      </w:r>
    </w:p>
    <w:p>
      <w:pPr>
        <w:pStyle w:val="bodytext-indent"/>
        <w:spacing w:lineRule="auto" w:line="240"/>
        <w:ind w:hanging="0" w:end="0"/>
        <w:rPr>
          <w:rFonts w:ascii="Arial" w:hAnsi="Arial" w:cs="Arial"/>
        </w:rPr>
      </w:pPr>
      <w:r>
        <w:rPr>
          <w:rFonts w:cs="Arial" w:ascii="Arial" w:hAnsi="Arial"/>
        </w:rPr>
      </w:r>
    </w:p>
    <w:p>
      <w:pPr>
        <w:pStyle w:val="Normal"/>
        <w:jc w:val="center"/>
        <w:rPr>
          <w:b/>
        </w:rPr>
      </w:pPr>
      <w:r>
        <w:rPr>
          <w:b/>
        </w:rPr>
        <w:t xml:space="preserve">REQUEST FOR REHEARING OF THE </w:t>
      </w:r>
    </w:p>
    <w:p>
      <w:pPr>
        <w:pStyle w:val="Normal"/>
        <w:jc w:val="center"/>
        <w:rPr>
          <w:b/>
        </w:rPr>
      </w:pPr>
      <w:r>
        <w:rPr>
          <w:b/>
        </w:rPr>
        <w:t>ELECTRIC POWER SUPPLY ASSOCIATION</w:t>
      </w:r>
    </w:p>
    <w:p>
      <w:pPr>
        <w:pStyle w:val="BodyTextStyle"/>
        <w:rPr/>
      </w:pPr>
      <w:r>
        <w:rPr>
          <w:rFonts w:cs="Arial" w:ascii="Arial" w:hAnsi="Arial"/>
        </w:rPr>
        <w:t>Pursuant to Section 313 of the Federal Power Act</w:t>
      </w:r>
      <w:r>
        <w:rPr>
          <w:rStyle w:val="FootnoteCharacters"/>
          <w:rStyle w:val="FootnoteReference"/>
          <w:rFonts w:cs="Arial" w:ascii="Arial" w:hAnsi="Arial"/>
        </w:rPr>
        <w:footnoteReference w:id="2"/>
      </w:r>
      <w:r>
        <w:rPr>
          <w:rFonts w:cs="Arial" w:ascii="Arial" w:hAnsi="Arial"/>
        </w:rPr>
        <w:t xml:space="preserve"> and Rule 713 of the Federal Energy Regulatory Commission's Rule of Practice and Procedure, the Electric Power Supply Association (“EPSA”) files this request for rehearing of </w:t>
      </w:r>
      <w:r>
        <w:rPr>
          <w:rFonts w:cs="Arial" w:ascii="Arial" w:hAnsi="Arial"/>
          <w:i/>
        </w:rPr>
        <w:t xml:space="preserve">Order Establishing Evidentiary Hearing Procedures, Granting Rehearing In Part, And Denying Rehearing In Part </w:t>
      </w:r>
      <w:r>
        <w:rPr>
          <w:rFonts w:cs="Arial" w:ascii="Arial" w:hAnsi="Arial"/>
        </w:rPr>
        <w:t>issued July 25, 2001</w:t>
      </w:r>
      <w:r>
        <w:rPr>
          <w:rFonts w:cs="Arial" w:ascii="Arial" w:hAnsi="Arial"/>
          <w:i/>
        </w:rPr>
        <w:t>.</w:t>
      </w:r>
      <w:r>
        <w:rPr>
          <w:rStyle w:val="FootnoteCharacters"/>
          <w:rStyle w:val="FootnoteReference"/>
          <w:rFonts w:cs="Arial" w:ascii="Arial" w:hAnsi="Arial"/>
          <w:i/>
        </w:rPr>
        <w:footnoteReference w:id="3"/>
      </w:r>
      <w:r>
        <w:rPr>
          <w:rFonts w:cs="Arial" w:ascii="Arial" w:hAnsi="Arial"/>
        </w:rPr>
        <w:t xml:space="preserve">  The Commission's decision to retroactively order refunds of market based rates for all hours back to October 2, 2000</w:t>
      </w:r>
      <w:r>
        <w:rPr>
          <w:rStyle w:val="FootnoteCharacters"/>
          <w:rStyle w:val="FootnoteReference"/>
          <w:rFonts w:cs="Arial" w:ascii="Arial" w:hAnsi="Arial"/>
        </w:rPr>
        <w:footnoteReference w:id="4"/>
      </w:r>
      <w:r>
        <w:rPr>
          <w:rFonts w:cs="Arial" w:ascii="Arial" w:hAnsi="Arial"/>
        </w:rPr>
        <w:t xml:space="preserve"> based on a to be determined proxy price, is fundamentally flawed.  To order refunds of market-based rates the Commission, must find that the seller violated its market based rate authority, </w:t>
      </w:r>
      <w:r>
        <w:rPr>
          <w:rFonts w:cs="Arial" w:ascii="Arial" w:hAnsi="Arial"/>
          <w:i/>
        </w:rPr>
        <w:t>i.e.</w:t>
      </w:r>
      <w:r>
        <w:rPr>
          <w:rFonts w:cs="Arial" w:ascii="Arial" w:hAnsi="Arial"/>
        </w:rPr>
        <w:t>, exercised market power.  Yet, throughout this proceeding, the Commission never found that any seller exercised market power nor set forth with any particularity the definition of market power and neither the 15 day settlement process previously ordered nor the procedures set forth in the June 25</w:t>
      </w:r>
      <w:r>
        <w:rPr>
          <w:rFonts w:cs="Arial" w:ascii="Arial" w:hAnsi="Arial"/>
          <w:vertAlign w:val="superscript"/>
        </w:rPr>
        <w:t>th</w:t>
      </w:r>
      <w:r>
        <w:rPr>
          <w:rFonts w:cs="Arial" w:ascii="Arial" w:hAnsi="Arial"/>
        </w:rPr>
        <w:t xml:space="preserve"> Order are appropriate for making any such determination.</w:t>
      </w:r>
    </w:p>
    <w:p>
      <w:pPr>
        <w:pStyle w:val="BodyTextStyle"/>
        <w:rPr>
          <w:rFonts w:ascii="Arial" w:hAnsi="Arial" w:cs="Arial"/>
        </w:rPr>
      </w:pPr>
      <w:r>
        <w:rPr>
          <w:rFonts w:cs="Arial" w:ascii="Arial" w:hAnsi="Arial"/>
        </w:rPr>
        <w:t>The Commission makes no attempt to reconcile its decision, to retroactively alter the filed rate by ordering refunds, with its previous precedent that such actions are not appropriate in a market based rate environment.  As the Commission said:</w:t>
      </w:r>
    </w:p>
    <w:p>
      <w:pPr>
        <w:pStyle w:val="BlockQuote"/>
        <w:rPr>
          <w:rFonts w:ascii="Arial" w:hAnsi="Arial" w:cs="Arial"/>
        </w:rPr>
      </w:pPr>
      <w:r>
        <w:rPr>
          <w:rFonts w:cs="Arial" w:ascii="Arial" w:hAnsi="Arial"/>
        </w:rPr>
        <w:t>Refunds are discretionary.  Moreover any attempt to establish a just and reasonable price to serve as the basis for a refund calculation would be extremely difficult to the extent that it would require the Commission to reconstruct economic decisions that would have been made under different circumstances.</w:t>
      </w:r>
      <w:r>
        <w:rPr>
          <w:rStyle w:val="FootnoteCharacters"/>
          <w:rStyle w:val="FootnoteReference"/>
          <w:rFonts w:cs="Arial" w:ascii="Arial" w:hAnsi="Arial"/>
        </w:rPr>
        <w:footnoteReference w:id="5"/>
      </w:r>
    </w:p>
    <w:p>
      <w:pPr>
        <w:pStyle w:val="BodyTextStyle"/>
        <w:ind w:hanging="0" w:end="0"/>
        <w:rPr>
          <w:rFonts w:ascii="Arial" w:hAnsi="Arial" w:cs="Arial"/>
        </w:rPr>
      </w:pPr>
      <w:r>
        <w:rPr>
          <w:rFonts w:cs="Arial" w:ascii="Arial" w:hAnsi="Arial"/>
        </w:rPr>
        <w:t xml:space="preserve">In this case, market participants cannot retroactively change economic decisions made under a Commission approved filed rate based on retroactively imposed Commission rules. Market participants certainly had no notice refunds would be ordered in this fashion and thus, could not conform their behavior to known or knowable Commission requirements.  </w:t>
      </w:r>
    </w:p>
    <w:p>
      <w:pPr>
        <w:pStyle w:val="BodyTextStyle"/>
        <w:rPr/>
      </w:pPr>
      <w:r>
        <w:rPr>
          <w:rFonts w:cs="Arial" w:ascii="Arial" w:hAnsi="Arial"/>
        </w:rPr>
        <w:t>The Commission does not explain how ordering further refunds, beyond those previously ordered during Stage 3 emergencies, is consistent with the Commission’s expressed goal in the December 15</w:t>
      </w:r>
      <w:r>
        <w:rPr>
          <w:rFonts w:cs="Arial" w:ascii="Arial" w:hAnsi="Arial"/>
          <w:vertAlign w:val="superscript"/>
        </w:rPr>
        <w:t>th</w:t>
      </w:r>
      <w:r>
        <w:rPr>
          <w:rFonts w:cs="Arial" w:ascii="Arial" w:hAnsi="Arial"/>
        </w:rPr>
        <w:t xml:space="preserve"> Order of giving market participants rate certainty.  In addition, the Commission did not address the voluminous comments that the refund liability of a marketer, assuming such liability is appropriate, has no relation to the refund liability associated with a proxy price established by the marginal unit.</w:t>
      </w:r>
    </w:p>
    <w:p>
      <w:pPr>
        <w:pStyle w:val="BodyTextStyle"/>
        <w:rPr/>
      </w:pPr>
      <w:r>
        <w:rPr>
          <w:rFonts w:cs="Arial" w:ascii="Arial" w:hAnsi="Arial"/>
        </w:rPr>
        <w:t>Finally, the July 25</w:t>
      </w:r>
      <w:r>
        <w:rPr>
          <w:rFonts w:cs="Arial" w:ascii="Arial" w:hAnsi="Arial"/>
          <w:vertAlign w:val="superscript"/>
        </w:rPr>
        <w:t>th</w:t>
      </w:r>
      <w:r>
        <w:rPr>
          <w:rFonts w:cs="Arial" w:ascii="Arial" w:hAnsi="Arial"/>
        </w:rPr>
        <w:t xml:space="preserve"> Order initiates a flawed process for the Pacific Northwest. There is no basis for refunds of bilateral transactions in the Pacific Northwest from December 25, 2000 through June 20, 2001.  The purpose of the proceeding is not clear from the Commission's Order, </w:t>
      </w:r>
      <w:r>
        <w:rPr>
          <w:rFonts w:cs="Arial" w:ascii="Arial" w:hAnsi="Arial"/>
          <w:i/>
        </w:rPr>
        <w:t>e.g.</w:t>
      </w:r>
      <w:r>
        <w:rPr>
          <w:rFonts w:cs="Arial" w:ascii="Arial" w:hAnsi="Arial"/>
        </w:rPr>
        <w:t xml:space="preserve"> the Commission did not define spot market sales in the Pacific Northwest, and the suggested refund effective date is incorrect.  No matter the appropriate refund effective date or spot market definition, the majority of the parties doing business in the Pacific Northwest have no interest in refunds.  These parties believe the rates during the applicable period were just and reasonable.  Finally, the west-wide mitigation provided for in the June 19</w:t>
      </w:r>
      <w:r>
        <w:rPr>
          <w:rFonts w:cs="Arial" w:ascii="Arial" w:hAnsi="Arial"/>
          <w:vertAlign w:val="superscript"/>
        </w:rPr>
        <w:t>th</w:t>
      </w:r>
      <w:r>
        <w:rPr>
          <w:rFonts w:cs="Arial" w:ascii="Arial" w:hAnsi="Arial"/>
        </w:rPr>
        <w:t xml:space="preserve"> Order adequately addresses the relief sought by those now seeking refunds.</w:t>
      </w:r>
    </w:p>
    <w:p>
      <w:pPr>
        <w:pStyle w:val="Heading1"/>
        <w:ind w:hanging="0" w:start="0"/>
        <w:rPr>
          <w:rFonts w:ascii="Arial" w:hAnsi="Arial" w:cs="Arial"/>
        </w:rPr>
      </w:pPr>
      <w:r>
        <w:rPr>
          <w:rFonts w:cs="Arial" w:ascii="Arial" w:hAnsi="Arial"/>
        </w:rPr>
        <w:t>ORDERING RETROACTIVE REFUNDS TO OCTOBER 2, 2000 IS INAPPROPRIATE</w:t>
      </w:r>
    </w:p>
    <w:p>
      <w:pPr>
        <w:pStyle w:val="Heading2"/>
        <w:ind w:hanging="0" w:start="0"/>
        <w:rPr>
          <w:rFonts w:ascii="Arial" w:hAnsi="Arial" w:cs="Arial"/>
        </w:rPr>
      </w:pPr>
      <w:r>
        <w:rPr>
          <w:rFonts w:cs="Arial" w:ascii="Arial" w:hAnsi="Arial"/>
        </w:rPr>
        <w:t xml:space="preserve">Retroactive Refunds Are Inappropriate Because The Commission Made No Finding That Any Market Participant Exercised Market Power, Did Not Define The Exercise Of Market Power, And The Commission Made No Factual Determination That The Circumstances Which Existed In All Hours From October 2, 2000 Through June 20, 2001 Warrant Refunds Being Ordered </w:t>
      </w:r>
    </w:p>
    <w:p>
      <w:pPr>
        <w:pStyle w:val="BodyTextStyle"/>
        <w:rPr/>
      </w:pPr>
      <w:r>
        <w:rPr>
          <w:rFonts w:cs="Arial" w:ascii="Arial" w:hAnsi="Arial"/>
        </w:rPr>
        <w:t>Under Commission precedent, a seller is allowed to charge market based rates if the seller lacks market power or if the market power of the seller has been mitigated.</w:t>
      </w:r>
      <w:r>
        <w:rPr>
          <w:rStyle w:val="FootnoteCharacters"/>
          <w:rStyle w:val="FootnoteReference"/>
          <w:rFonts w:cs="Arial" w:ascii="Arial" w:hAnsi="Arial"/>
        </w:rPr>
        <w:footnoteReference w:id="6"/>
      </w:r>
      <w:r>
        <w:rPr>
          <w:rFonts w:cs="Arial" w:ascii="Arial" w:hAnsi="Arial"/>
        </w:rPr>
        <w:t xml:space="preserve">   Each of the sellers subject to refunds in this proceeding were authorized to charge market based rates and charged rates that conformed with the market based rate authority issued by the Commission from October 2, 2000 through June 20, 2001.  As the Commission said in the July 25</w:t>
      </w:r>
      <w:r>
        <w:rPr>
          <w:rFonts w:cs="Arial" w:ascii="Arial" w:hAnsi="Arial"/>
          <w:vertAlign w:val="superscript"/>
        </w:rPr>
        <w:t>th</w:t>
      </w:r>
      <w:r>
        <w:rPr>
          <w:rFonts w:cs="Arial" w:ascii="Arial" w:hAnsi="Arial"/>
        </w:rPr>
        <w:t xml:space="preserve"> Order:</w:t>
      </w:r>
    </w:p>
    <w:p>
      <w:pPr>
        <w:pStyle w:val="BlockQuote"/>
        <w:rPr>
          <w:rFonts w:ascii="Arial" w:hAnsi="Arial" w:cs="Arial"/>
        </w:rPr>
      </w:pPr>
      <w:r>
        <w:rPr>
          <w:rFonts w:cs="Arial" w:ascii="Arial" w:hAnsi="Arial"/>
        </w:rPr>
        <w:t>[i]t has not been demonstrated that any conditions or limitations of sellers’ market-based rate tariffs have been violated.  The conditions hypothesized by the parties are not evident from the market-based rate schedules or our orders.  Thus, there is no basis for finding that the sellers acted inconsistently with Commission-filed tariffs or with specific requirements in their filed rate authorizations.</w:t>
      </w:r>
      <w:r>
        <w:rPr>
          <w:rStyle w:val="FootnoteCharacters"/>
          <w:rStyle w:val="FootnoteReference"/>
          <w:rFonts w:cs="Arial" w:ascii="Arial" w:hAnsi="Arial"/>
        </w:rPr>
        <w:footnoteReference w:id="7"/>
      </w:r>
    </w:p>
    <w:p>
      <w:pPr>
        <w:pStyle w:val="BodyTextStyle"/>
        <w:rPr/>
      </w:pPr>
      <w:r>
        <w:rPr>
          <w:rFonts w:cs="Arial" w:ascii="Arial" w:hAnsi="Arial"/>
        </w:rPr>
        <w:t xml:space="preserve">Given that the filed rate is the market based rate of each seller, then prior to ordering refunds under Section 206 of the Federal Power Act, the Commission must find that a seller violated the conditions of its market based authority, </w:t>
      </w:r>
      <w:r>
        <w:rPr>
          <w:rFonts w:cs="Arial" w:ascii="Arial" w:hAnsi="Arial"/>
          <w:i/>
        </w:rPr>
        <w:t>i.e.</w:t>
      </w:r>
      <w:r>
        <w:rPr>
          <w:rFonts w:cs="Arial" w:ascii="Arial" w:hAnsi="Arial"/>
        </w:rPr>
        <w:t xml:space="preserve"> exercised market power.  Yet, nowhere in these lengthy proceedings did the Commission find that any seller exercised market power or otherwise violated the conditions of its market based rate authority.  The Commission said in the November 1</w:t>
      </w:r>
      <w:r>
        <w:rPr>
          <w:rFonts w:cs="Arial" w:ascii="Arial" w:hAnsi="Arial"/>
          <w:vertAlign w:val="superscript"/>
        </w:rPr>
        <w:t>st</w:t>
      </w:r>
      <w:r>
        <w:rPr>
          <w:rFonts w:cs="Arial" w:ascii="Arial" w:hAnsi="Arial"/>
        </w:rPr>
        <w:t xml:space="preserve"> Order:</w:t>
      </w:r>
    </w:p>
    <w:p>
      <w:pPr>
        <w:pStyle w:val="BlockQuote"/>
        <w:rPr>
          <w:rFonts w:ascii="Arial" w:hAnsi="Arial" w:cs="Arial"/>
        </w:rPr>
      </w:pPr>
      <w:r>
        <w:rPr>
          <w:rFonts w:cs="Arial" w:ascii="Arial" w:hAnsi="Arial"/>
        </w:rPr>
        <w:t xml:space="preserve">Rather, the Commission finds in this order that the electric market structure and flawed market rules for wholesale sales of electric energy in California are seriously flawed and these structures and rules, in conjunction with an imbalance of supply and demand in California have caused, and continue to have the potential to cause unjust and unreasonable rates for short-term energy (Day-Ahead, Day-of, Ancillary Services and real-time energy sales) under certain conditions.  </w:t>
      </w:r>
      <w:r>
        <w:rPr>
          <w:rFonts w:cs="Arial" w:ascii="Arial" w:hAnsi="Arial"/>
          <w:u w:val="single"/>
        </w:rPr>
        <w:t>While this record does not support findings of specific exercises of market power, and while we are not able to reach definite conclusions about the actions of individual sellers</w:t>
      </w:r>
      <w:r>
        <w:rPr>
          <w:rFonts w:cs="Arial" w:ascii="Arial" w:hAnsi="Arial"/>
        </w:rPr>
        <w:t>, there is clear evidence that the California market structure and rules provide the opportunity for sellers to exercise market power when supply is tight and result in unjust and unreasonable rates under the FPA.</w:t>
      </w:r>
      <w:r>
        <w:rPr>
          <w:rStyle w:val="FootnoteCharacters"/>
          <w:rStyle w:val="FootnoteReference"/>
          <w:rFonts w:cs="Arial" w:ascii="Arial" w:hAnsi="Arial"/>
        </w:rPr>
        <w:footnoteReference w:id="8"/>
      </w:r>
    </w:p>
    <w:p>
      <w:pPr>
        <w:pStyle w:val="BlockQuote"/>
        <w:rPr/>
      </w:pPr>
      <w:r>
        <w:rPr>
          <w:rFonts w:cs="Arial" w:ascii="Arial" w:hAnsi="Arial"/>
        </w:rPr>
        <w:t>The December 15</w:t>
      </w:r>
      <w:r>
        <w:rPr>
          <w:rFonts w:cs="Arial" w:ascii="Arial" w:hAnsi="Arial"/>
          <w:vertAlign w:val="superscript"/>
        </w:rPr>
        <w:t>th</w:t>
      </w:r>
      <w:r>
        <w:rPr>
          <w:rFonts w:cs="Arial" w:ascii="Arial" w:hAnsi="Arial"/>
        </w:rPr>
        <w:t xml:space="preserve"> Order said:</w:t>
      </w:r>
    </w:p>
    <w:p>
      <w:pPr>
        <w:pStyle w:val="BlockQuote"/>
        <w:rPr>
          <w:rFonts w:ascii="Arial" w:hAnsi="Arial" w:cs="Arial"/>
        </w:rPr>
      </w:pPr>
      <w:r>
        <w:rPr>
          <w:rFonts w:cs="Arial" w:ascii="Arial" w:hAnsi="Arial"/>
        </w:rPr>
        <w:t>[W]hile exercises of market power may cause a rate to be unjust and unreasonable, in the circumstances here, independent of any conclusive showing of a specific abuse of market power, a variety of factors have converged to drastically skew wholesale prices under certain conditions: significant over-reliance on spot markets which by their very nature can produce dramatic price increases when supply is tight; significant increases in load combined with lack of new facilities as well as reduced availability of supply from out of state; chronic underscheduling; and lack of demand responsiveness to price.</w:t>
      </w:r>
      <w:r>
        <w:rPr>
          <w:rStyle w:val="FootnoteCharacters"/>
          <w:rStyle w:val="FootnoteReference"/>
          <w:rFonts w:cs="Arial" w:ascii="Arial" w:hAnsi="Arial"/>
        </w:rPr>
        <w:footnoteReference w:id="9"/>
      </w:r>
    </w:p>
    <w:p>
      <w:pPr>
        <w:pStyle w:val="BodyTextStyle"/>
        <w:rPr/>
      </w:pPr>
      <w:r>
        <w:rPr>
          <w:rFonts w:cs="Arial" w:ascii="Arial" w:hAnsi="Arial"/>
        </w:rPr>
        <w:t>The Commission made no findings in the July 25</w:t>
      </w:r>
      <w:r>
        <w:rPr>
          <w:rFonts w:cs="Arial" w:ascii="Arial" w:hAnsi="Arial"/>
          <w:vertAlign w:val="superscript"/>
        </w:rPr>
        <w:t>th</w:t>
      </w:r>
      <w:r>
        <w:rPr>
          <w:rFonts w:cs="Arial" w:ascii="Arial" w:hAnsi="Arial"/>
        </w:rPr>
        <w:t xml:space="preserve"> Order to explain, now, why refunds are required for all hours for the period October 2, 2000 through June 20, 2001.  Indeed, the Commission specifically said in the December 15</w:t>
      </w:r>
      <w:r>
        <w:rPr>
          <w:rFonts w:cs="Arial" w:ascii="Arial" w:hAnsi="Arial"/>
          <w:vertAlign w:val="superscript"/>
        </w:rPr>
        <w:t>th</w:t>
      </w:r>
      <w:r>
        <w:rPr>
          <w:rFonts w:cs="Arial" w:ascii="Arial" w:hAnsi="Arial"/>
        </w:rPr>
        <w:t xml:space="preserve"> Order that it did not find that all rates at all times in these spot markets were unjust and unreasonable.</w:t>
      </w:r>
      <w:r>
        <w:rPr>
          <w:rStyle w:val="FootnoteCharacters"/>
          <w:rStyle w:val="FootnoteReference"/>
          <w:rFonts w:cs="Arial" w:ascii="Arial" w:hAnsi="Arial"/>
        </w:rPr>
        <w:footnoteReference w:id="10"/>
      </w:r>
      <w:r>
        <w:rPr>
          <w:rFonts w:cs="Arial" w:ascii="Arial" w:hAnsi="Arial"/>
        </w:rPr>
        <w:t xml:space="preserve">  Rather, the Commission’s focus in the November 1</w:t>
      </w:r>
      <w:r>
        <w:rPr>
          <w:rFonts w:cs="Arial" w:ascii="Arial" w:hAnsi="Arial"/>
          <w:vertAlign w:val="superscript"/>
        </w:rPr>
        <w:t>st</w:t>
      </w:r>
      <w:r>
        <w:rPr>
          <w:rStyle w:val="FootnoteCharacters"/>
          <w:rStyle w:val="FootnoteReference"/>
          <w:rFonts w:cs="Arial" w:ascii="Arial" w:hAnsi="Arial"/>
        </w:rPr>
        <w:footnoteReference w:id="11"/>
      </w:r>
      <w:r>
        <w:rPr>
          <w:rFonts w:cs="Arial" w:ascii="Arial" w:hAnsi="Arial"/>
        </w:rPr>
        <w:t xml:space="preserve"> and December 15</w:t>
      </w:r>
      <w:r>
        <w:rPr>
          <w:rFonts w:cs="Arial" w:ascii="Arial" w:hAnsi="Arial"/>
          <w:vertAlign w:val="superscript"/>
        </w:rPr>
        <w:t>th</w:t>
      </w:r>
      <w:r>
        <w:rPr>
          <w:rStyle w:val="FootnoteCharacters"/>
          <w:rStyle w:val="FootnoteReference"/>
          <w:rFonts w:cs="Arial" w:ascii="Arial" w:hAnsi="Arial"/>
        </w:rPr>
        <w:footnoteReference w:id="12"/>
      </w:r>
      <w:r>
        <w:rPr>
          <w:rFonts w:cs="Arial" w:ascii="Arial" w:hAnsi="Arial"/>
        </w:rPr>
        <w:t xml:space="preserve"> Orders was that in </w:t>
      </w:r>
      <w:r>
        <w:rPr>
          <w:rFonts w:cs="Arial" w:ascii="Arial" w:hAnsi="Arial"/>
          <w:u w:val="single"/>
        </w:rPr>
        <w:t>certain supply and demand conditions</w:t>
      </w:r>
      <w:r>
        <w:rPr>
          <w:rFonts w:cs="Arial" w:ascii="Arial" w:hAnsi="Arial"/>
        </w:rPr>
        <w:t xml:space="preserve">, the flawed California market rules and structures </w:t>
      </w:r>
      <w:r>
        <w:rPr>
          <w:rFonts w:cs="Arial" w:ascii="Arial" w:hAnsi="Arial"/>
          <w:u w:val="single"/>
        </w:rPr>
        <w:t>may</w:t>
      </w:r>
      <w:r>
        <w:rPr>
          <w:rFonts w:cs="Arial" w:ascii="Arial" w:hAnsi="Arial"/>
        </w:rPr>
        <w:t xml:space="preserve"> create the potential for exercise of market power or </w:t>
      </w:r>
      <w:r>
        <w:rPr>
          <w:rFonts w:cs="Arial" w:ascii="Arial" w:hAnsi="Arial"/>
          <w:u w:val="single"/>
        </w:rPr>
        <w:t>may</w:t>
      </w:r>
      <w:r>
        <w:rPr>
          <w:rFonts w:cs="Arial" w:ascii="Arial" w:hAnsi="Arial"/>
        </w:rPr>
        <w:t xml:space="preserve"> result in excessive prices.  Consistent with those two decisions, prior to the July 25</w:t>
      </w:r>
      <w:r>
        <w:rPr>
          <w:rFonts w:cs="Arial" w:ascii="Arial" w:hAnsi="Arial"/>
          <w:vertAlign w:val="superscript"/>
        </w:rPr>
        <w:t>th</w:t>
      </w:r>
      <w:r>
        <w:rPr>
          <w:rFonts w:cs="Arial" w:ascii="Arial" w:hAnsi="Arial"/>
        </w:rPr>
        <w:t xml:space="preserve"> Order, the Commission ordered refunds</w:t>
      </w:r>
      <w:r>
        <w:rPr>
          <w:rStyle w:val="FootnoteCharacters"/>
          <w:rStyle w:val="FootnoteReference"/>
          <w:rFonts w:cs="Arial" w:ascii="Arial" w:hAnsi="Arial"/>
        </w:rPr>
        <w:footnoteReference w:id="13"/>
      </w:r>
      <w:r>
        <w:rPr>
          <w:rFonts w:cs="Arial" w:ascii="Arial" w:hAnsi="Arial"/>
        </w:rPr>
        <w:t xml:space="preserve"> only during periods of reserve deficiency.</w:t>
      </w:r>
      <w:r>
        <w:rPr>
          <w:rStyle w:val="FootnoteCharacters"/>
          <w:rStyle w:val="FootnoteReference"/>
          <w:rFonts w:cs="Arial" w:ascii="Arial" w:hAnsi="Arial"/>
        </w:rPr>
        <w:footnoteReference w:id="14"/>
      </w:r>
      <w:r>
        <w:rPr>
          <w:rFonts w:cs="Arial" w:ascii="Arial" w:hAnsi="Arial"/>
        </w:rPr>
        <w:t xml:space="preserve"> </w:t>
      </w:r>
    </w:p>
    <w:p>
      <w:pPr>
        <w:pStyle w:val="BodyTextStyle"/>
        <w:rPr/>
      </w:pPr>
      <w:r>
        <w:rPr>
          <w:rFonts w:cs="Arial" w:ascii="Arial" w:hAnsi="Arial"/>
        </w:rPr>
        <w:t>The Commission did not show in the July 25</w:t>
      </w:r>
      <w:r>
        <w:rPr>
          <w:rFonts w:cs="Arial" w:ascii="Arial" w:hAnsi="Arial"/>
          <w:vertAlign w:val="superscript"/>
        </w:rPr>
        <w:t>th</w:t>
      </w:r>
      <w:r>
        <w:rPr>
          <w:rFonts w:cs="Arial" w:ascii="Arial" w:hAnsi="Arial"/>
        </w:rPr>
        <w:t xml:space="preserve"> Order how market power could be exercised when no reserve deficiency existed, thereby requiring refunds to be ordered.  Indeed, the Commission specifically said in the April 26</w:t>
      </w:r>
      <w:r>
        <w:rPr>
          <w:rFonts w:cs="Arial" w:ascii="Arial" w:hAnsi="Arial"/>
          <w:vertAlign w:val="superscript"/>
        </w:rPr>
        <w:t>th</w:t>
      </w:r>
      <w:r>
        <w:rPr>
          <w:rFonts w:cs="Arial" w:ascii="Arial" w:hAnsi="Arial"/>
        </w:rPr>
        <w:t xml:space="preserve"> Order why mitigation, or in this case refunds, were inappropriate during non-reserve conditions.</w:t>
      </w:r>
    </w:p>
    <w:p>
      <w:pPr>
        <w:pStyle w:val="BlockQuote"/>
        <w:rPr/>
      </w:pPr>
      <w:r>
        <w:rPr>
          <w:rFonts w:cs="Arial" w:ascii="Arial" w:hAnsi="Arial"/>
        </w:rPr>
        <w:t>Once the ISO enters an emergency situation, supply is short relative to demand, demand response is not significant, and the ISO is charged with the responsibility to acquire the available power.  In these circumstances, prices may exceed those that would be charged in a competitive market.  But these situations are limited to emergency situations.  During non-emergency conditions, a supplier has less of an incentive to bid a high price, because it cannot be sure it will be dispatched, since it runs the risk that other suppliers will offer lower bids.  In addition, limiting price mitigation to emergency conditions will limit the incentive for generators to withhold capacity in other than emergency conditions. A generator that physically withholds capacity to raise price runs the risk that its withholding of capacity will force an emergency condition in which price mitigation will apply.</w:t>
      </w:r>
      <w:r>
        <w:rPr>
          <w:rStyle w:val="FootnoteCharacters"/>
          <w:rStyle w:val="FootnoteReference"/>
          <w:rFonts w:cs="Arial" w:ascii="Arial" w:hAnsi="Arial"/>
        </w:rPr>
        <w:footnoteReference w:id="15"/>
      </w:r>
      <w:r>
        <w:rPr>
          <w:rFonts w:cs="Arial" w:ascii="Arial" w:hAnsi="Arial"/>
        </w:rPr>
        <w:t xml:space="preserve">  For these reasons, applying price mitigation to emergency conditions is sufficient to assure just and reasonable rates under the FPA.</w:t>
      </w:r>
    </w:p>
    <w:p>
      <w:pPr>
        <w:pStyle w:val="BodyTextStyle"/>
        <w:rPr/>
      </w:pPr>
      <w:r>
        <w:rPr>
          <w:rFonts w:cs="Arial" w:ascii="Arial" w:hAnsi="Arial"/>
        </w:rPr>
        <w:t>Not only did the Commission not find the exercise of market power, the Commission in these proceedings never defined the term, “the exercise of market power.”  To be sure, the Commission did set forth examples of anticompetitive conduct and made findings concerning the appropriate creditworthiness adder.</w:t>
      </w:r>
      <w:r>
        <w:rPr>
          <w:rStyle w:val="FootnoteCharacters"/>
          <w:rStyle w:val="FootnoteReference"/>
          <w:rFonts w:cs="Arial" w:ascii="Arial" w:hAnsi="Arial"/>
        </w:rPr>
        <w:footnoteReference w:id="16"/>
      </w:r>
      <w:r>
        <w:rPr>
          <w:rFonts w:cs="Arial" w:ascii="Arial" w:hAnsi="Arial"/>
        </w:rPr>
        <w:t xml:space="preserve">  However, the July 25</w:t>
      </w:r>
      <w:r>
        <w:rPr>
          <w:rFonts w:cs="Arial" w:ascii="Arial" w:hAnsi="Arial"/>
          <w:vertAlign w:val="superscript"/>
        </w:rPr>
        <w:t>th</w:t>
      </w:r>
      <w:r>
        <w:rPr>
          <w:rFonts w:cs="Arial" w:ascii="Arial" w:hAnsi="Arial"/>
        </w:rPr>
        <w:t xml:space="preserve"> Order contains no evidence that any such acts occurred and certainly no evidence that such acts occurred during all hours such that refunds are warranted.</w:t>
      </w:r>
    </w:p>
    <w:p>
      <w:pPr>
        <w:pStyle w:val="BodyTextStyle"/>
        <w:rPr/>
      </w:pPr>
      <w:r>
        <w:rPr>
          <w:rFonts w:cs="Arial" w:ascii="Arial" w:hAnsi="Arial"/>
        </w:rPr>
        <w:t>In the end, the Commission cannot order refunds for all periods from October 2, 2000 through June 20, 2001 on the basis of the ability to exercise market power during a supply demand imbalance.  The Commission cannot order refunds on the basis that any seller exercised market power or engaged in anticompetive conduct.  Thus, the only basis for ordering refunds is the Commission’s belief that, absent refunds, rates would fall outside the “zone of reasonableness” for this period.  The Commission, however, in the July 25</w:t>
      </w:r>
      <w:r>
        <w:rPr>
          <w:rFonts w:cs="Arial" w:ascii="Arial" w:hAnsi="Arial"/>
          <w:vertAlign w:val="superscript"/>
        </w:rPr>
        <w:t>th</w:t>
      </w:r>
      <w:r>
        <w:rPr>
          <w:rFonts w:cs="Arial" w:ascii="Arial" w:hAnsi="Arial"/>
        </w:rPr>
        <w:t xml:space="preserve"> Order and throughout this proceeding never articulated or applied any standards to establish a “zone of reasonableness” in a market based rate context.  In particular, the Commission did not articulate a standard for when prices are too high such as to fall outside the “zone of reasonableness,” a point conceded by the former Chairman of the Commission.</w:t>
      </w:r>
      <w:r>
        <w:rPr>
          <w:rStyle w:val="FootnoteCharacters"/>
          <w:rStyle w:val="FootnoteReference"/>
          <w:rFonts w:cs="Arial" w:ascii="Arial" w:hAnsi="Arial"/>
        </w:rPr>
        <w:footnoteReference w:id="17"/>
      </w:r>
      <w:r>
        <w:rPr>
          <w:rFonts w:cs="Arial" w:ascii="Arial" w:hAnsi="Arial"/>
        </w:rPr>
        <w:t xml:space="preserve">  The current Commission in the July 25</w:t>
      </w:r>
      <w:r>
        <w:rPr>
          <w:rFonts w:cs="Arial" w:ascii="Arial" w:hAnsi="Arial"/>
          <w:vertAlign w:val="superscript"/>
        </w:rPr>
        <w:t>th</w:t>
      </w:r>
      <w:r>
        <w:rPr>
          <w:rFonts w:cs="Arial" w:ascii="Arial" w:hAnsi="Arial"/>
        </w:rPr>
        <w:t xml:space="preserve"> Order also conceded that point:</w:t>
      </w:r>
    </w:p>
    <w:p>
      <w:pPr>
        <w:pStyle w:val="BlockQuote"/>
        <w:rPr>
          <w:rFonts w:ascii="Arial" w:hAnsi="Arial" w:cs="Arial"/>
        </w:rPr>
      </w:pPr>
      <w:r>
        <w:rPr>
          <w:rFonts w:cs="Arial" w:ascii="Arial" w:hAnsi="Arial"/>
        </w:rPr>
        <w:t xml:space="preserve">Nor did it [the Commission] set an objective standard against which market pricing standards would be measured or indicate that any price above that standard would be </w:t>
      </w:r>
      <w:r>
        <w:rPr>
          <w:rFonts w:cs="Arial" w:ascii="Arial" w:hAnsi="Arial"/>
          <w:u w:val="single"/>
        </w:rPr>
        <w:t>prima facia</w:t>
      </w:r>
      <w:r>
        <w:rPr>
          <w:rFonts w:cs="Arial" w:ascii="Arial" w:hAnsi="Arial"/>
        </w:rPr>
        <w:t xml:space="preserve"> excessive.</w:t>
      </w:r>
      <w:r>
        <w:rPr>
          <w:rStyle w:val="FootnoteCharacters"/>
          <w:rStyle w:val="FootnoteReference"/>
          <w:rFonts w:cs="Arial" w:ascii="Arial" w:hAnsi="Arial"/>
        </w:rPr>
        <w:footnoteReference w:id="18"/>
      </w:r>
    </w:p>
    <w:p>
      <w:pPr>
        <w:pStyle w:val="BodyTextStyle"/>
        <w:rPr/>
      </w:pPr>
      <w:r>
        <w:rPr>
          <w:rFonts w:cs="Arial" w:ascii="Arial" w:hAnsi="Arial"/>
        </w:rPr>
        <w:t xml:space="preserve">In short, the Commission cannot order refunds because the Commission cannot support, with record evidence, why the resulting rate would be a just and reasonable rate as opposed to the rate previously charged in compliance with the filed tariff, </w:t>
      </w:r>
      <w:r>
        <w:rPr>
          <w:rFonts w:cs="Arial" w:ascii="Arial" w:hAnsi="Arial"/>
          <w:i/>
        </w:rPr>
        <w:t xml:space="preserve">i.e. </w:t>
      </w:r>
      <w:r>
        <w:rPr>
          <w:rFonts w:cs="Arial" w:ascii="Arial" w:hAnsi="Arial"/>
        </w:rPr>
        <w:t>the market based rate.  In addition, in each of a series of prior Orders, including those dated December 15</w:t>
      </w:r>
      <w:r>
        <w:rPr>
          <w:rFonts w:cs="Arial" w:ascii="Arial" w:hAnsi="Arial"/>
          <w:vertAlign w:val="superscript"/>
        </w:rPr>
        <w:t>th</w:t>
      </w:r>
      <w:r>
        <w:rPr>
          <w:rFonts w:cs="Arial" w:ascii="Arial" w:hAnsi="Arial"/>
        </w:rPr>
        <w:t>, March 9</w:t>
      </w:r>
      <w:r>
        <w:rPr>
          <w:rFonts w:cs="Arial" w:ascii="Arial" w:hAnsi="Arial"/>
          <w:vertAlign w:val="superscript"/>
        </w:rPr>
        <w:t>th</w:t>
      </w:r>
      <w:r>
        <w:rPr>
          <w:rFonts w:cs="Arial" w:ascii="Arial" w:hAnsi="Arial"/>
        </w:rPr>
        <w:t>, April 26</w:t>
      </w:r>
      <w:r>
        <w:rPr>
          <w:rFonts w:cs="Arial" w:ascii="Arial" w:hAnsi="Arial"/>
          <w:vertAlign w:val="superscript"/>
        </w:rPr>
        <w:t>th</w:t>
      </w:r>
      <w:r>
        <w:rPr>
          <w:rFonts w:cs="Arial" w:ascii="Arial" w:hAnsi="Arial"/>
        </w:rPr>
        <w:t>, June 19</w:t>
      </w:r>
      <w:r>
        <w:rPr>
          <w:rFonts w:cs="Arial" w:ascii="Arial" w:hAnsi="Arial"/>
          <w:vertAlign w:val="superscript"/>
        </w:rPr>
        <w:t>th</w:t>
      </w:r>
      <w:r>
        <w:rPr>
          <w:rFonts w:cs="Arial" w:ascii="Arial" w:hAnsi="Arial"/>
        </w:rPr>
        <w:t>, the Commission adopted “new and improved” market mitigation measures, each one applying a different standard, a different formula and calculating a different result.  These mitigation measures are internally inconsistent and incompatible with each other, despite the fact that some ordered refunds (or, more accurately offsets) for portions of the same period covered by the July 25</w:t>
      </w:r>
      <w:r>
        <w:rPr>
          <w:rFonts w:cs="Arial" w:ascii="Arial" w:hAnsi="Arial"/>
          <w:vertAlign w:val="superscript"/>
        </w:rPr>
        <w:t>th</w:t>
      </w:r>
      <w:r>
        <w:rPr>
          <w:rFonts w:cs="Arial" w:ascii="Arial" w:hAnsi="Arial"/>
        </w:rPr>
        <w:t xml:space="preserve"> Order!  As a matter of law and policy, the Commission cannot simply ignore these prior orders and, with no explanation or opportunity for hearing, proceed to implement the July 25</w:t>
      </w:r>
      <w:r>
        <w:rPr>
          <w:rFonts w:cs="Arial" w:ascii="Arial" w:hAnsi="Arial"/>
          <w:vertAlign w:val="superscript"/>
        </w:rPr>
        <w:t>th</w:t>
      </w:r>
      <w:r>
        <w:rPr>
          <w:rFonts w:cs="Arial" w:ascii="Arial" w:hAnsi="Arial"/>
        </w:rPr>
        <w:t xml:space="preserve"> refund methodology.</w:t>
      </w:r>
    </w:p>
    <w:p>
      <w:pPr>
        <w:pStyle w:val="BodyTextStyle"/>
        <w:rPr/>
      </w:pPr>
      <w:r>
        <w:rPr>
          <w:rFonts w:cs="Arial" w:ascii="Arial" w:hAnsi="Arial"/>
        </w:rPr>
        <w:t>The courts have cautioned that the Commission must provide an adequate basis for its decisions, including articulation of factual findings supported by underlying data and assumptions.</w:t>
      </w:r>
      <w:r>
        <w:rPr>
          <w:rStyle w:val="FootnoteCharacters"/>
          <w:rStyle w:val="FootnoteReference"/>
          <w:rFonts w:cs="Arial" w:ascii="Arial" w:hAnsi="Arial"/>
        </w:rPr>
        <w:footnoteReference w:id="19"/>
      </w:r>
      <w:r>
        <w:rPr>
          <w:rFonts w:cs="Arial" w:ascii="Arial" w:hAnsi="Arial"/>
        </w:rPr>
        <w:t xml:space="preserve">  The Commission must make “a reasoned decision based upon substantial evidence in the record.”</w:t>
      </w:r>
      <w:r>
        <w:rPr>
          <w:rStyle w:val="FootnoteCharacters"/>
          <w:rStyle w:val="FootnoteReference"/>
          <w:rFonts w:cs="Arial" w:ascii="Arial" w:hAnsi="Arial"/>
        </w:rPr>
        <w:footnoteReference w:id="20"/>
      </w:r>
      <w:r>
        <w:rPr>
          <w:rFonts w:cs="Arial" w:ascii="Arial" w:hAnsi="Arial"/>
        </w:rPr>
        <w:t xml:space="preserve">  Here, in ordering refunds for all periods based on a to be determined proxy price, the Commission did not make a reasoned decision based on substantial evidence in the record.</w:t>
      </w:r>
    </w:p>
    <w:p>
      <w:pPr>
        <w:pStyle w:val="Heading2"/>
        <w:ind w:hanging="0" w:start="0"/>
        <w:rPr>
          <w:rFonts w:ascii="Arial" w:hAnsi="Arial" w:cs="Arial"/>
        </w:rPr>
      </w:pPr>
      <w:r>
        <w:rPr>
          <w:rFonts w:cs="Arial" w:ascii="Arial" w:hAnsi="Arial"/>
        </w:rPr>
        <w:t>The Commission’s Processes Were Inadequate To Any Determination That Refunds Are Appropriate</w:t>
      </w:r>
    </w:p>
    <w:p>
      <w:pPr>
        <w:pStyle w:val="BodyTextStyle"/>
        <w:rPr/>
      </w:pPr>
      <w:r>
        <w:rPr>
          <w:rFonts w:cs="Arial" w:ascii="Arial" w:hAnsi="Arial"/>
        </w:rPr>
        <w:t>The reason the Commission has no record of support to order refunds is that the procedures provided to date do not lend themselves to making any sort of factual determinations on these important issues.  There have been no trial type hearings on the just and reasonable rate and no opportunity to present evidence or cross-examine witnesses who allege that refunds are owed.  When almost $9 billion in refunds are claimed, fundamental fairness dictates that prior to making any final determination on refunds, market participants be given the opportunity to test the allegations of those seeking refunds and present their own evidence.  Certainly, no opportunity was afforded during the 15 day California settlement conference ordered by the June 19</w:t>
      </w:r>
      <w:r>
        <w:rPr>
          <w:rFonts w:cs="Arial" w:ascii="Arial" w:hAnsi="Arial"/>
          <w:vertAlign w:val="superscript"/>
        </w:rPr>
        <w:t>th</w:t>
      </w:r>
      <w:r>
        <w:rPr>
          <w:rFonts w:cs="Arial" w:ascii="Arial" w:hAnsi="Arial"/>
        </w:rPr>
        <w:t xml:space="preserve"> Order.  Counsel for IDACORP succinctly summed up those proceedings.</w:t>
      </w:r>
    </w:p>
    <w:p>
      <w:pPr>
        <w:pStyle w:val="BlockQuote"/>
        <w:rPr>
          <w:rFonts w:ascii="Arial" w:hAnsi="Arial" w:cs="Arial"/>
        </w:rPr>
      </w:pPr>
      <w:r>
        <w:rPr>
          <w:rFonts w:cs="Arial" w:ascii="Arial" w:hAnsi="Arial"/>
        </w:rPr>
        <w:t>This complicated matter that has caused us to all be here for many days is a settlement proceeding.  The matter has not been set for hearing under Part 385 of the Commission’s regulations.  The Commission’s order establishing this settlement conference afforded you only 15 days to try and forge a settlement of an extraordinarily complex matter involving hundreds of parties, and we have heard it claim hundreds of millions of dollars.</w:t>
      </w:r>
    </w:p>
    <w:p>
      <w:pPr>
        <w:pStyle w:val="BlockQuote"/>
        <w:rPr>
          <w:rFonts w:ascii="Arial" w:hAnsi="Arial" w:cs="Arial"/>
        </w:rPr>
      </w:pPr>
      <w:r>
        <w:rPr>
          <w:rFonts w:cs="Arial" w:ascii="Arial" w:hAnsi="Arial"/>
        </w:rPr>
        <w:t>To date, no party has presented any public company-specific refund claims against any seller with any evidentiary support that we are aware of.</w:t>
      </w:r>
    </w:p>
    <w:p>
      <w:pPr>
        <w:pStyle w:val="BlockQuote"/>
        <w:rPr>
          <w:rFonts w:ascii="Arial" w:hAnsi="Arial" w:cs="Arial"/>
        </w:rPr>
      </w:pPr>
      <w:r>
        <w:rPr>
          <w:rFonts w:cs="Arial" w:ascii="Arial" w:hAnsi="Arial"/>
        </w:rPr>
        <w:t>As a result, the parties, in particular, the marketers who have asked me to speak on their behalf – and we’ll provide you with a list – have had no adequate opportunity to protect our formal legal rights.  There’s been no opportunity for discovery, and certainly, no opportunity for the presentation of meaningful testimony testing any assertions that are raised against us, or prepare testimony in our own defense in the nature of an affirmative case.</w:t>
      </w:r>
    </w:p>
    <w:p>
      <w:pPr>
        <w:pStyle w:val="BlockQuote"/>
        <w:rPr>
          <w:rFonts w:ascii="Arial" w:hAnsi="Arial" w:cs="Arial"/>
        </w:rPr>
      </w:pPr>
      <w:r>
        <w:rPr>
          <w:rFonts w:cs="Arial" w:ascii="Arial" w:hAnsi="Arial"/>
        </w:rPr>
        <w:t>The schedule adopted by the Commission and the scope of the matters encompassed by the Commission’s order have, we believe, effectively deprived you of the opportunity, and in fact, the authority to fully accord us these rights.  We know you’ve labored hard to assure that people’s rights are protected, but we think that the protections that are available have turned out to be inadequate under Commission norms and Constitutional norms…</w:t>
      </w:r>
    </w:p>
    <w:p>
      <w:pPr>
        <w:pStyle w:val="BlockQuote"/>
        <w:rPr>
          <w:rFonts w:ascii="Arial" w:hAnsi="Arial" w:cs="Arial"/>
        </w:rPr>
      </w:pPr>
      <w:r>
        <w:rPr>
          <w:rFonts w:cs="Arial" w:ascii="Arial" w:hAnsi="Arial"/>
        </w:rPr>
        <w:t xml:space="preserve">Under no circumstances do we believe that a record developed in a proceeding like this in the present circumstances can constitute substantial evidence sufficient to support any Commission order on the merits, and thus, the marketers who will provide you with a list for your record later, are not agreeable to the proceedings being conducted in this fashion, and participate solely subject to a complete reservation of all our rights.  And our thanks to your Honor for doing his best under enormously trying circumstances. </w:t>
      </w:r>
    </w:p>
    <w:p>
      <w:pPr>
        <w:pStyle w:val="BodyTextStyle"/>
        <w:rPr>
          <w:rFonts w:ascii="Arial" w:hAnsi="Arial" w:cs="Arial"/>
        </w:rPr>
      </w:pPr>
      <w:r>
        <w:rPr>
          <w:rFonts w:cs="Arial" w:ascii="Arial" w:hAnsi="Arial"/>
        </w:rPr>
        <w:t>Others has similar comments:</w:t>
      </w:r>
    </w:p>
    <w:p>
      <w:pPr>
        <w:pStyle w:val="BlockQuote"/>
        <w:rPr/>
      </w:pPr>
      <w:r>
        <w:rPr>
          <w:rFonts w:cs="Arial" w:ascii="Arial" w:hAnsi="Arial"/>
        </w:rPr>
        <w:t>The settlement proceedings, which are confidential and the limited “record” produced within a day and a half, do not meet the most basic or substantive requirements of the Administrative Procedure Act (“APA”) The unverified and unsupported papers and calculations provided during the last day and a half of the settlement conference cannot provide the requisite basis for findings or conclusions</w:t>
      </w:r>
      <w:r>
        <w:rPr>
          <w:rStyle w:val="FootnoteCharacters"/>
          <w:rStyle w:val="FootnoteReference"/>
          <w:rFonts w:cs="Arial" w:ascii="Arial" w:hAnsi="Arial"/>
        </w:rPr>
        <w:footnoteReference w:id="21"/>
      </w:r>
      <w:r>
        <w:rPr>
          <w:rFonts w:cs="Arial" w:ascii="Arial" w:hAnsi="Arial"/>
        </w:rPr>
        <w:t>.</w:t>
      </w:r>
    </w:p>
    <w:p>
      <w:pPr>
        <w:pStyle w:val="BodyTextStyle"/>
        <w:rPr>
          <w:rFonts w:ascii="Arial" w:hAnsi="Arial" w:cs="Arial"/>
        </w:rPr>
      </w:pPr>
      <w:r>
        <w:rPr>
          <w:rFonts w:cs="Arial" w:ascii="Arial" w:hAnsi="Arial"/>
        </w:rPr>
        <w:t>Parties added:</w:t>
      </w:r>
    </w:p>
    <w:p>
      <w:pPr>
        <w:pStyle w:val="BlockQuote"/>
        <w:rPr>
          <w:rFonts w:ascii="Arial" w:hAnsi="Arial" w:cs="Arial"/>
        </w:rPr>
      </w:pPr>
      <w:r>
        <w:rPr>
          <w:rFonts w:cs="Arial" w:ascii="Arial" w:hAnsi="Arial"/>
        </w:rPr>
        <w:t>Here, the only non-confidential information on which the Judge can rely for his substantive recommendation is that presented in the last day and half of the settlement proceeding, during which time a “record” was being formed.</w:t>
      </w:r>
      <w:r>
        <w:rPr>
          <w:rStyle w:val="FootnoteCharacters"/>
          <w:rStyle w:val="FootnoteReference"/>
          <w:rFonts w:cs="Arial" w:ascii="Arial" w:hAnsi="Arial"/>
        </w:rPr>
        <w:footnoteReference w:id="22"/>
      </w:r>
      <w:r>
        <w:rPr>
          <w:rFonts w:cs="Arial" w:ascii="Arial" w:hAnsi="Arial"/>
        </w:rPr>
        <w:t xml:space="preserve">  While the ISO and other parties may have presented various analyses prior to that time as part of the settlement discussions, all of that material is confidential, and there has been no opportunity to review or test those figures, let alone an opportunity for discovery, cross-examination, and the presentation of meaningful testimony to refute that data.  Even during the last day and a half there was no opportunity to cross-examine the “evidence” presented by parties—the parties were limited to asking very few “clarifying questions” of the witnesses.  These extremely constrained proceedings cannot form the basis for a record sufficient to pass the substantial evidence test, particularly given the complexity of the issues involved here and the millions (or billions, according to the ISO) of dollars at stake.</w:t>
      </w:r>
      <w:r>
        <w:rPr>
          <w:rStyle w:val="FootnoteCharacters"/>
          <w:rStyle w:val="FootnoteReference"/>
          <w:rFonts w:cs="Arial" w:ascii="Arial" w:hAnsi="Arial"/>
        </w:rPr>
        <w:footnoteReference w:id="23"/>
      </w:r>
    </w:p>
    <w:p>
      <w:pPr>
        <w:pStyle w:val="BodyTextStyle"/>
        <w:rPr>
          <w:rFonts w:ascii="Arial" w:hAnsi="Arial" w:cs="Arial"/>
        </w:rPr>
      </w:pPr>
      <w:r>
        <w:rPr>
          <w:rFonts w:cs="Arial" w:ascii="Arial" w:hAnsi="Arial"/>
        </w:rPr>
        <w:t>Certainly, no opportunity will be afforded during the proceedings ordered in front of Judge Birchman. The Commission said:</w:t>
      </w:r>
    </w:p>
    <w:p>
      <w:pPr>
        <w:pStyle w:val="BlockQuote"/>
        <w:rPr>
          <w:rFonts w:ascii="Arial" w:hAnsi="Arial" w:cs="Arial"/>
        </w:rPr>
      </w:pPr>
      <w:r>
        <w:rPr>
          <w:rFonts w:cs="Arial" w:ascii="Arial" w:hAnsi="Arial"/>
        </w:rPr>
        <w:t xml:space="preserve">The scope of the hearing will be limited to the collection of data needed to apply the refund methodology prescribed herein; we will direct Judge Birchman not to entertain any arguments relating to the methodology or the scope of the transactions subject to refunds except as otherwise indicated in this order.  </w:t>
      </w:r>
    </w:p>
    <w:p>
      <w:pPr>
        <w:pStyle w:val="BodyTextStyle"/>
        <w:rPr>
          <w:rFonts w:ascii="Arial" w:hAnsi="Arial" w:cs="Arial"/>
        </w:rPr>
      </w:pPr>
      <w:r>
        <w:rPr>
          <w:rFonts w:cs="Arial" w:ascii="Arial" w:hAnsi="Arial"/>
        </w:rPr>
        <w:t xml:space="preserve">To be sure, there is no requirement for the Commission to hold a trial type hearing.  However, the California proceedings are unprecedented at the Commission, certainly in recent memory.  This is not another garden variety rate case or certificate proceeding; at risk, in a highly politicized environment, are claims that almost $9 billion in refunds are due by sellers who are similarly owed billions of dollars by parties, some of whom are now in bankruptcy.  In this situation the Commission should not deny parties a meaningful opportunity to protect their interests by presenting evidence and cross examining witnesses and do so by relying on court precedent upholding Commission decisions where a trial type hearing was not held.  Therefore, the Commission should hold a trial type hearing before any final determination is made that refunds are appropriate for the applicable period. </w:t>
      </w:r>
    </w:p>
    <w:p>
      <w:pPr>
        <w:pStyle w:val="BodyTextStyle"/>
        <w:rPr>
          <w:rFonts w:ascii="Arial" w:hAnsi="Arial" w:cs="Arial"/>
        </w:rPr>
      </w:pPr>
      <w:r>
        <w:rPr>
          <w:rFonts w:cs="Arial" w:ascii="Arial" w:hAnsi="Arial"/>
        </w:rPr>
      </w:r>
    </w:p>
    <w:p>
      <w:pPr>
        <w:pStyle w:val="Heading2"/>
        <w:ind w:hanging="0" w:start="0"/>
        <w:rPr>
          <w:rFonts w:ascii="Arial" w:hAnsi="Arial" w:cs="Arial"/>
        </w:rPr>
      </w:pPr>
      <w:r>
        <w:rPr>
          <w:rFonts w:cs="Arial" w:ascii="Arial" w:hAnsi="Arial"/>
        </w:rPr>
        <w:t>The Commission’s Decision To Retroactively Impose Refunds Is Directly Contrary to Longstanding Commission Precedent That Such Rule Changes Are Inappropriate Since Market Participants Cannot Retroactively Alter Their Behavior</w:t>
      </w:r>
    </w:p>
    <w:p>
      <w:pPr>
        <w:pStyle w:val="BodyTextStyle"/>
        <w:rPr/>
      </w:pPr>
      <w:r>
        <w:rPr>
          <w:rFonts w:cs="Arial" w:ascii="Arial" w:hAnsi="Arial"/>
        </w:rPr>
        <w:t>Commission precedent holds that in a market based rate environment, rules should not be retroactively applied since market participants cannot retroactively adjust business decisions made in reliance on the previous rules.</w:t>
      </w:r>
      <w:r>
        <w:rPr>
          <w:rStyle w:val="FootnoteCharacters"/>
          <w:rStyle w:val="FootnoteReference"/>
          <w:rFonts w:cs="Arial" w:ascii="Arial" w:hAnsi="Arial"/>
        </w:rPr>
        <w:footnoteReference w:id="24"/>
      </w:r>
      <w:r>
        <w:rPr>
          <w:rFonts w:cs="Arial" w:ascii="Arial" w:hAnsi="Arial"/>
        </w:rPr>
        <w:t xml:space="preserve">  The Commission’s decision to retroactively impose refunds deviates from this precedent.  Clearly market participants cannot alter now their participation in ISO and PX markets based on a price that has not yet even been determined.  Those business decisions were based on the rate on file and parties had no notice that the rate would be altered by refunds being ordered.  The Commission’s Order gives no indication why the Commission chose to deviate from this precedent and retroactively imposing refunds is particularly inappropriate given, as set forth above, that Commission does not have an adequate record to support such a decision, market participants have not been given the opportunity to develop such a record and market participants had no notice that refunds would be imposed in this fashion.</w:t>
      </w:r>
    </w:p>
    <w:p>
      <w:pPr>
        <w:pStyle w:val="BodyTextStyle"/>
        <w:rPr>
          <w:rFonts w:ascii="Arial" w:hAnsi="Arial" w:cs="Arial"/>
        </w:rPr>
      </w:pPr>
      <w:r>
        <w:rPr>
          <w:rFonts w:cs="Arial" w:ascii="Arial" w:hAnsi="Arial"/>
        </w:rPr>
        <w:t>The Commission set forth why retroactively imposing refunds were inappropriate in its August 23, 2000 Order.</w:t>
      </w:r>
    </w:p>
    <w:p>
      <w:pPr>
        <w:pStyle w:val="BlockQuote"/>
        <w:rPr>
          <w:rFonts w:ascii="Arial" w:hAnsi="Arial" w:cs="Arial"/>
        </w:rPr>
      </w:pPr>
      <w:r>
        <w:rPr>
          <w:rFonts w:cs="Arial" w:ascii="Arial" w:hAnsi="Arial"/>
        </w:rPr>
        <w:t xml:space="preserve">Refunds are discretionary. </w:t>
      </w:r>
      <w:r>
        <w:rPr>
          <w:rFonts w:cs="Arial" w:ascii="Arial" w:hAnsi="Arial"/>
          <w:u w:val="single"/>
        </w:rPr>
        <w:t xml:space="preserve"> Moreover any attempt to establish a just and reasonable price to serve as the basis for a refund calculation would be extremely difficult to the extent that it would require the Commission to reconstruct economic decisions that would have been made under different circumstances. </w:t>
      </w:r>
      <w:r>
        <w:rPr>
          <w:rFonts w:cs="Arial" w:ascii="Arial" w:hAnsi="Arial"/>
        </w:rPr>
        <w:t xml:space="preserve"> In addition, in the context of market based rates and a competitive market, refunds may not be the appropriate remedy to address any competitive problems that may be found.  Thus, in establishing a refund effective date in these dockets, we wish to emphasize that, while refunds would ultimately offer some level of restitution to California ratepayers, they may be an inferior remedy from a market perspective and not the fundamental solution to any problems occurring in California markets.</w:t>
      </w:r>
      <w:r>
        <w:rPr>
          <w:rStyle w:val="FootnoteCharacters"/>
          <w:rStyle w:val="FootnoteReference"/>
          <w:rFonts w:cs="Arial" w:ascii="Arial" w:hAnsi="Arial"/>
        </w:rPr>
        <w:footnoteReference w:id="25"/>
      </w:r>
    </w:p>
    <w:p>
      <w:pPr>
        <w:pStyle w:val="BodyTextStyle"/>
        <w:rPr/>
      </w:pPr>
      <w:r>
        <w:rPr>
          <w:rFonts w:cs="Arial" w:ascii="Arial" w:hAnsi="Arial"/>
        </w:rPr>
        <w:t>Prior to issuance of the July 25</w:t>
      </w:r>
      <w:r>
        <w:rPr>
          <w:rFonts w:cs="Arial" w:ascii="Arial" w:hAnsi="Arial"/>
          <w:vertAlign w:val="superscript"/>
        </w:rPr>
        <w:t>th</w:t>
      </w:r>
      <w:r>
        <w:rPr>
          <w:rFonts w:cs="Arial" w:ascii="Arial" w:hAnsi="Arial"/>
        </w:rPr>
        <w:t xml:space="preserve"> Order, market participants had no notice that the Commission would impose refunds in the manner prescribed in that Order.  The August 23</w:t>
      </w:r>
      <w:r>
        <w:rPr>
          <w:rFonts w:cs="Arial" w:ascii="Arial" w:hAnsi="Arial"/>
          <w:vertAlign w:val="superscript"/>
        </w:rPr>
        <w:t>rd</w:t>
      </w:r>
      <w:r>
        <w:rPr>
          <w:rFonts w:cs="Arial" w:ascii="Arial" w:hAnsi="Arial"/>
        </w:rPr>
        <w:t xml:space="preserve"> Order establishing the refund effective date and the investigation into the ISO and PX markets gave no clear guidance.  The December 15</w:t>
      </w:r>
      <w:r>
        <w:rPr>
          <w:rFonts w:cs="Arial" w:ascii="Arial" w:hAnsi="Arial"/>
          <w:vertAlign w:val="superscript"/>
        </w:rPr>
        <w:t>th</w:t>
      </w:r>
      <w:r>
        <w:rPr>
          <w:rFonts w:cs="Arial" w:ascii="Arial" w:hAnsi="Arial"/>
        </w:rPr>
        <w:t xml:space="preserve"> Order, in fact, found that rates in all periods were not unjust and unreasonable.  All of the Commission’s prior decision provided for mitigation only during reserve deficiencies, consistent with its findings in the November 1</w:t>
      </w:r>
      <w:r>
        <w:rPr>
          <w:rFonts w:cs="Arial" w:ascii="Arial" w:hAnsi="Arial"/>
          <w:vertAlign w:val="superscript"/>
        </w:rPr>
        <w:t>st</w:t>
      </w:r>
      <w:r>
        <w:rPr>
          <w:rFonts w:cs="Arial" w:ascii="Arial" w:hAnsi="Arial"/>
        </w:rPr>
        <w:t xml:space="preserve"> and December 15</w:t>
      </w:r>
      <w:r>
        <w:rPr>
          <w:rFonts w:cs="Arial" w:ascii="Arial" w:hAnsi="Arial"/>
          <w:vertAlign w:val="superscript"/>
        </w:rPr>
        <w:t>th</w:t>
      </w:r>
      <w:r>
        <w:rPr>
          <w:rFonts w:cs="Arial" w:ascii="Arial" w:hAnsi="Arial"/>
        </w:rPr>
        <w:t xml:space="preserve"> Orders concerning the exercise of market power during a supply/demand imbalance.  For example in its March 9</w:t>
      </w:r>
      <w:r>
        <w:rPr>
          <w:rFonts w:cs="Arial" w:ascii="Arial" w:hAnsi="Arial"/>
          <w:vertAlign w:val="superscript"/>
        </w:rPr>
        <w:t>th</w:t>
      </w:r>
      <w:r>
        <w:rPr>
          <w:rFonts w:cs="Arial" w:ascii="Arial" w:hAnsi="Arial"/>
        </w:rPr>
        <w:t xml:space="preserve"> Order establishing the proxy clearing price under the $150 breakpoint established in the December 15</w:t>
      </w:r>
      <w:r>
        <w:rPr>
          <w:rFonts w:cs="Arial" w:ascii="Arial" w:hAnsi="Arial"/>
          <w:vertAlign w:val="superscript"/>
        </w:rPr>
        <w:t>th</w:t>
      </w:r>
      <w:r>
        <w:rPr>
          <w:rFonts w:cs="Arial" w:ascii="Arial" w:hAnsi="Arial"/>
        </w:rPr>
        <w:t xml:space="preserve"> Order, the Commission said:</w:t>
      </w:r>
    </w:p>
    <w:p>
      <w:pPr>
        <w:pStyle w:val="BlockQuote"/>
        <w:rPr>
          <w:rFonts w:ascii="Arial" w:hAnsi="Arial" w:cs="Arial"/>
        </w:rPr>
      </w:pPr>
      <w:r>
        <w:rPr>
          <w:rFonts w:cs="Arial" w:ascii="Arial" w:hAnsi="Arial"/>
        </w:rPr>
        <w:t xml:space="preserve">In analyzing the reported bid data, and the system conditions that occur in the ISO and PX markets, the Commission has determined that potential market power is most likely to be exercised during periods of the most severe supply/demand imbalance.  Stage 3 emergencies occur during operating reserves are at or below 1.5 percent of load and therefore, represent the most severe supply/demand imbalance.  </w:t>
      </w:r>
    </w:p>
    <w:p>
      <w:pPr>
        <w:pStyle w:val="BodyTextStyle"/>
        <w:rPr/>
      </w:pPr>
      <w:r>
        <w:rPr>
          <w:rFonts w:cs="Arial" w:ascii="Arial" w:hAnsi="Arial"/>
        </w:rPr>
        <w:t>Applying a similar approach in the April 26</w:t>
      </w:r>
      <w:r>
        <w:rPr>
          <w:rFonts w:cs="Arial" w:ascii="Arial" w:hAnsi="Arial"/>
          <w:vertAlign w:val="superscript"/>
        </w:rPr>
        <w:t>th</w:t>
      </w:r>
      <w:r>
        <w:rPr>
          <w:rFonts w:cs="Arial" w:ascii="Arial" w:hAnsi="Arial"/>
        </w:rPr>
        <w:t xml:space="preserve"> Order, the Commission ordered mitigation during a Stage 1, 2 or 3 emergency.  The Commission said:</w:t>
      </w:r>
    </w:p>
    <w:p>
      <w:pPr>
        <w:pStyle w:val="BlockQuote"/>
        <w:rPr>
          <w:rFonts w:ascii="Arial" w:hAnsi="Arial" w:cs="Arial"/>
        </w:rPr>
      </w:pPr>
      <w:r>
        <w:rPr>
          <w:rFonts w:cs="Arial" w:ascii="Arial" w:hAnsi="Arial"/>
        </w:rPr>
        <w:t>The Commission will make price mitigation applicable to all conditions defined by the ISO as beginning when reserves fall below 7.5%.  These conditions, although applied for purposes of reliability, nevertheless can serve as a standard by which the market should have enough supply to yield a competitive result.  Ordinarily, in a competitive market with demand response, high prices during times of reserve deficiency would be legitimate scarcity rents needed to properly allocate energy to those placing the highest value on obtaining energy.  However, given the lack of demand responsiveness in this market, when the market realizes that reliability targets are missed, suppliers have a greater incentive to offer supply at prices above what they would ordinarily bid in a competitive market.  Under these conditions, all suppliers are aware of how tight supplies are relative to the amount they have to offer, and have an incentive to set a high bid price.  Because of the lack of demand response, these prices may not reflect what the market would have established as appropriate scarcity rents and, therefore, may not be just and reasonable.</w:t>
      </w:r>
      <w:r>
        <w:rPr>
          <w:rStyle w:val="FootnoteCharacters"/>
          <w:rStyle w:val="FootnoteReference"/>
          <w:rFonts w:cs="Arial" w:ascii="Arial" w:hAnsi="Arial"/>
        </w:rPr>
        <w:footnoteReference w:id="26"/>
      </w:r>
    </w:p>
    <w:p>
      <w:pPr>
        <w:pStyle w:val="BodyTextStyle"/>
        <w:rPr/>
      </w:pPr>
      <w:r>
        <w:rPr>
          <w:rFonts w:cs="Arial" w:ascii="Arial" w:hAnsi="Arial"/>
        </w:rPr>
        <w:t>In essence, the earliest market participants had any inkling of a possible order addressing refunds under all periods was the June 19</w:t>
      </w:r>
      <w:r>
        <w:rPr>
          <w:rFonts w:cs="Arial" w:ascii="Arial" w:hAnsi="Arial"/>
          <w:vertAlign w:val="superscript"/>
        </w:rPr>
        <w:t>th</w:t>
      </w:r>
      <w:r>
        <w:rPr>
          <w:rFonts w:cs="Arial" w:ascii="Arial" w:hAnsi="Arial"/>
        </w:rPr>
        <w:t xml:space="preserve"> Order providing for mitigation on a going forward basis since the July 25</w:t>
      </w:r>
      <w:r>
        <w:rPr>
          <w:rFonts w:cs="Arial" w:ascii="Arial" w:hAnsi="Arial"/>
          <w:vertAlign w:val="superscript"/>
        </w:rPr>
        <w:t>th</w:t>
      </w:r>
      <w:r>
        <w:rPr>
          <w:rFonts w:cs="Arial" w:ascii="Arial" w:hAnsi="Arial"/>
        </w:rPr>
        <w:t xml:space="preserve"> Order is patterned after that Commission decision.  At that time, it was certainly impossible to retroactively change one’s behavior.</w:t>
      </w:r>
    </w:p>
    <w:p>
      <w:pPr>
        <w:pStyle w:val="BodyTextStyle"/>
        <w:rPr/>
      </w:pPr>
      <w:r>
        <w:rPr>
          <w:rFonts w:cs="Arial" w:ascii="Arial" w:hAnsi="Arial"/>
        </w:rPr>
        <w:t>The Commission’s decision to order refunds during all periods based on a to be determined proxy mitigation price is particularly egregious given that the Commission has already issued refund orders under the mitigation provided for under the December 15</w:t>
      </w:r>
      <w:r>
        <w:rPr>
          <w:rFonts w:cs="Arial" w:ascii="Arial" w:hAnsi="Arial"/>
          <w:vertAlign w:val="superscript"/>
        </w:rPr>
        <w:t>th</w:t>
      </w:r>
      <w:r>
        <w:rPr>
          <w:rFonts w:cs="Arial" w:ascii="Arial" w:hAnsi="Arial"/>
        </w:rPr>
        <w:t xml:space="preserve"> Order.  There, the Commission said it would determine the transactions subject to further review within 60 days.  In so doing, the Commission said that it would rely on several indicators of </w:t>
      </w:r>
      <w:r>
        <w:rPr>
          <w:rFonts w:cs="Arial" w:ascii="Arial" w:hAnsi="Arial"/>
          <w:u w:val="single"/>
        </w:rPr>
        <w:t>market power</w:t>
      </w:r>
      <w:r>
        <w:rPr>
          <w:rFonts w:cs="Arial" w:ascii="Arial" w:hAnsi="Arial"/>
        </w:rPr>
        <w:t>, including the outage rates of the seller’s resources, the failure to bid unsold MW’s into the ISO real time market and variations in bidding patters for the same or similar resources (e.g., bidding large blocks of capacity at a low price and a small amount of capacity at a high price for the purpose of setting the market clearing price for the entire amount.)  Those not subject to further review would be final:</w:t>
      </w:r>
    </w:p>
    <w:p>
      <w:pPr>
        <w:pStyle w:val="BlockQuote"/>
        <w:rPr>
          <w:rFonts w:ascii="Arial" w:hAnsi="Arial" w:cs="Arial"/>
        </w:rPr>
      </w:pPr>
      <w:r>
        <w:rPr>
          <w:rFonts w:cs="Arial" w:ascii="Arial" w:hAnsi="Arial"/>
        </w:rPr>
        <w:t>We clarify that unless the Commission issue some form of notification to a seller that its transaction is still under review, refund potential on a particular transaction will close 60 days after the initial report is filed with the Commission.</w:t>
      </w:r>
      <w:r>
        <w:rPr>
          <w:rStyle w:val="FootnoteCharacters"/>
          <w:rStyle w:val="FootnoteReference"/>
          <w:rFonts w:cs="Arial" w:ascii="Arial" w:hAnsi="Arial"/>
        </w:rPr>
        <w:footnoteReference w:id="27"/>
      </w:r>
      <w:r>
        <w:rPr>
          <w:rFonts w:cs="Arial" w:ascii="Arial" w:hAnsi="Arial"/>
        </w:rPr>
        <w:t xml:space="preserve">  </w:t>
      </w:r>
      <w:r>
        <w:rPr>
          <w:rFonts w:cs="Arial" w:ascii="Arial" w:hAnsi="Arial"/>
          <w:u w:val="single"/>
        </w:rPr>
        <w:t>The institution of a 60 day period for the review of transaction will provide sellers with the certainty they request and allows a reasonable period for analysis by staff.  (emphasis added)</w:t>
      </w:r>
    </w:p>
    <w:p>
      <w:pPr>
        <w:pStyle w:val="BodyTextStyle"/>
        <w:rPr/>
      </w:pPr>
      <w:r>
        <w:rPr>
          <w:rFonts w:cs="Arial" w:ascii="Arial" w:hAnsi="Arial"/>
        </w:rPr>
        <w:t>From January through June, the Commission issued notices for transactions during Stage 3 emergencies and established prices and refund amounts for transactions during such emergencies.  Parties could either refund, or more than likely offset, the amounts owed or provide further justification.  If the justification provided for those transactions was inadequate, refunds/offsets were ordered. Under the clear language of the December 15</w:t>
      </w:r>
      <w:r>
        <w:rPr>
          <w:rFonts w:cs="Arial" w:ascii="Arial" w:hAnsi="Arial"/>
          <w:vertAlign w:val="superscript"/>
        </w:rPr>
        <w:t>th</w:t>
      </w:r>
      <w:r>
        <w:rPr>
          <w:rFonts w:cs="Arial" w:ascii="Arial" w:hAnsi="Arial"/>
        </w:rPr>
        <w:t xml:space="preserve"> Order, all other prices during all other periods were final and no longer subject to review other than prices set during a Stage 3 emergency.  To now open these periods for further refunds as provided for under the July 25</w:t>
      </w:r>
      <w:r>
        <w:rPr>
          <w:rFonts w:cs="Arial" w:ascii="Arial" w:hAnsi="Arial"/>
          <w:vertAlign w:val="superscript"/>
        </w:rPr>
        <w:t>th</w:t>
      </w:r>
      <w:r>
        <w:rPr>
          <w:rFonts w:cs="Arial" w:ascii="Arial" w:hAnsi="Arial"/>
        </w:rPr>
        <w:t xml:space="preserve"> Order detracts from the goal of giving market participants regulatory certainty for their transactions.</w:t>
      </w:r>
    </w:p>
    <w:p>
      <w:pPr>
        <w:pStyle w:val="BodyTextStyle"/>
        <w:rPr/>
      </w:pPr>
      <w:r>
        <w:rPr>
          <w:rFonts w:cs="Arial" w:ascii="Arial" w:hAnsi="Arial"/>
        </w:rPr>
        <w:t>To be sure, the Commission can always change its mind and does not have to follow precedent.  However the Commission must provide an adequate justification for doing so.</w:t>
      </w:r>
      <w:r>
        <w:rPr>
          <w:rStyle w:val="FootnoteCharacters"/>
          <w:rStyle w:val="FootnoteReference"/>
          <w:rFonts w:cs="Arial" w:ascii="Arial" w:hAnsi="Arial"/>
        </w:rPr>
        <w:footnoteReference w:id="28"/>
      </w:r>
      <w:r>
        <w:rPr>
          <w:rFonts w:cs="Arial" w:ascii="Arial" w:hAnsi="Arial"/>
        </w:rPr>
        <w:t xml:space="preserve">  In this case, the Commission can provide no such justification for ordering refunds during all periods since the Commission did not find that any market participant exercised market power and did not define the just and reasonable rate in a market based rate situation or otherwise show that applying refunds for all periods was necessary to ensure just and reasonable rates</w:t>
      </w:r>
    </w:p>
    <w:p>
      <w:pPr>
        <w:pStyle w:val="Heading1"/>
        <w:ind w:hanging="0" w:start="0"/>
        <w:rPr>
          <w:rFonts w:ascii="Arial" w:hAnsi="Arial" w:cs="Arial"/>
        </w:rPr>
      </w:pPr>
      <w:r>
        <w:rPr>
          <w:rFonts w:cs="Arial" w:ascii="Arial" w:hAnsi="Arial"/>
        </w:rPr>
        <w:t>The Commission Has Set Forth A Flawed Proceeding For The Pacific Northwest</w:t>
      </w:r>
    </w:p>
    <w:p>
      <w:pPr>
        <w:pStyle w:val="BodyTextStyle"/>
        <w:rPr/>
      </w:pPr>
      <w:r>
        <w:rPr>
          <w:rFonts w:cs="Arial" w:ascii="Arial" w:hAnsi="Arial"/>
        </w:rPr>
        <w:t>The procedural flaws that inflict the Commission’s July 25</w:t>
      </w:r>
      <w:r>
        <w:rPr>
          <w:rFonts w:cs="Arial" w:ascii="Arial" w:hAnsi="Arial"/>
          <w:vertAlign w:val="superscript"/>
        </w:rPr>
        <w:t>th</w:t>
      </w:r>
      <w:r>
        <w:rPr>
          <w:rFonts w:cs="Arial" w:ascii="Arial" w:hAnsi="Arial"/>
        </w:rPr>
        <w:t xml:space="preserve"> California decisions also inflict the Commission’s decision to establish a separate</w:t>
      </w:r>
      <w:r>
        <w:rPr>
          <w:rFonts w:cs="Arial" w:ascii="Arial" w:hAnsi="Arial"/>
          <w:i/>
        </w:rPr>
        <w:t xml:space="preserve"> preliminary </w:t>
      </w:r>
      <w:r>
        <w:rPr>
          <w:rFonts w:cs="Arial" w:ascii="Arial" w:hAnsi="Arial"/>
        </w:rPr>
        <w:t>evidentiary proceeding pertaining to the Northwest.</w:t>
      </w:r>
      <w:r>
        <w:rPr>
          <w:rStyle w:val="FootnoteCharacters"/>
          <w:rStyle w:val="FootnoteReference"/>
          <w:rFonts w:cs="Arial" w:ascii="Arial" w:hAnsi="Arial"/>
        </w:rPr>
        <w:footnoteReference w:id="29"/>
      </w:r>
      <w:r>
        <w:rPr>
          <w:rFonts w:cs="Arial" w:ascii="Arial" w:hAnsi="Arial"/>
        </w:rPr>
        <w:t xml:space="preserve">  There is no basis for ordering refunds in the Pacific Northwest.  That said, the Commission should clarify the purpose of the proceeding.  Moreover, the Commission has incorrectly set the refund effective date.</w:t>
      </w:r>
    </w:p>
    <w:p>
      <w:pPr>
        <w:pStyle w:val="BodyTextStyle"/>
        <w:rPr/>
      </w:pPr>
      <w:r>
        <w:rPr>
          <w:rFonts w:cs="Arial" w:ascii="Arial" w:hAnsi="Arial"/>
        </w:rPr>
        <w:t>As EPSA and other parties have previously expressed that there is absolutely no basis for ordering mitigation throughout the Western Systems Coordinated Council (“WSCC”).</w:t>
      </w:r>
      <w:r>
        <w:rPr>
          <w:rStyle w:val="FootnoteCharacters"/>
          <w:rStyle w:val="FootnoteReference"/>
          <w:rFonts w:cs="Arial" w:ascii="Arial" w:hAnsi="Arial"/>
        </w:rPr>
        <w:footnoteReference w:id="30"/>
      </w:r>
      <w:r>
        <w:rPr>
          <w:rFonts w:cs="Arial" w:ascii="Arial" w:hAnsi="Arial"/>
        </w:rPr>
        <w:t xml:space="preserve">  There is even less of a basis for ordering retroactive refunds of bilateral transactions from December 25, 2000 through June 20, 2001.  The overwhelming majority of market participants in the Pacific Northwest agree since they are not seeking refunds and the Transaction Finality Group</w:t>
      </w:r>
      <w:r>
        <w:rPr>
          <w:rStyle w:val="FootnoteCharacters"/>
          <w:rStyle w:val="FootnoteReference"/>
          <w:rFonts w:cs="Arial" w:ascii="Arial" w:hAnsi="Arial"/>
        </w:rPr>
        <w:footnoteReference w:id="31"/>
      </w:r>
      <w:r>
        <w:rPr>
          <w:rFonts w:cs="Arial" w:ascii="Arial" w:hAnsi="Arial"/>
        </w:rPr>
        <w:t>, approximately 40 investor owned and public power utilities, qualifying facilities, marketers and end-use customers, oppose refunds.  In any event, the west-wide mitigation provided for in the June 19</w:t>
      </w:r>
      <w:r>
        <w:rPr>
          <w:rFonts w:cs="Arial" w:ascii="Arial" w:hAnsi="Arial"/>
          <w:vertAlign w:val="superscript"/>
        </w:rPr>
        <w:t>th</w:t>
      </w:r>
      <w:r>
        <w:rPr>
          <w:rFonts w:cs="Arial" w:ascii="Arial" w:hAnsi="Arial"/>
        </w:rPr>
        <w:t xml:space="preserve"> Order is all the parties that continue to seek refunds, such as the City of Seattle, ever sought in the Puget Sound complaint or the California proceeding.</w:t>
      </w:r>
      <w:r>
        <w:rPr>
          <w:rStyle w:val="FootnoteCharacters"/>
          <w:rStyle w:val="FootnoteReference"/>
          <w:rFonts w:cs="Arial" w:ascii="Arial" w:hAnsi="Arial"/>
        </w:rPr>
        <w:footnoteReference w:id="32"/>
      </w:r>
      <w:r>
        <w:rPr>
          <w:rFonts w:cs="Arial" w:ascii="Arial" w:hAnsi="Arial"/>
        </w:rPr>
        <w:t xml:space="preserve"> </w:t>
      </w:r>
    </w:p>
    <w:p>
      <w:pPr>
        <w:pStyle w:val="BodyTextStyle"/>
        <w:rPr>
          <w:rFonts w:ascii="Arial" w:hAnsi="Arial" w:cs="Arial"/>
        </w:rPr>
      </w:pPr>
      <w:r>
        <w:rPr>
          <w:rFonts w:cs="Arial" w:ascii="Arial" w:hAnsi="Arial"/>
        </w:rPr>
        <w:t xml:space="preserve">In addition, while the Commission has not yet to set a refund effective date, the Commission believes that the beginning of the refund effective date is December 25, 2000, 60 days after the filing of the Puget Sound complaint.  This is incorrect.  To set such a refund effective date, the Commission would have to establish a hearing on the Puget Sound complaint.  However, the Commission did not set the Puget Sound complaint for hearing.  It rejected the Puget Sound complaint.  The Commission cannot set a refund effective date 60 days after the filing of a complaint when the only Commission action has been to reject that very complaint.  </w:t>
      </w:r>
    </w:p>
    <w:p>
      <w:pPr>
        <w:pStyle w:val="BodyTextStyle"/>
        <w:rPr/>
      </w:pPr>
      <w:r>
        <w:rPr>
          <w:rFonts w:cs="Arial" w:ascii="Arial" w:hAnsi="Arial"/>
        </w:rPr>
        <w:t xml:space="preserve">Moreover, the purpose of a refund effective date is to put parties on notice that the rates they charge, </w:t>
      </w:r>
      <w:r>
        <w:rPr>
          <w:rFonts w:cs="Arial" w:ascii="Arial" w:hAnsi="Arial"/>
          <w:i/>
        </w:rPr>
        <w:t>i.e.</w:t>
      </w:r>
      <w:r>
        <w:rPr>
          <w:rFonts w:cs="Arial" w:ascii="Arial" w:hAnsi="Arial"/>
        </w:rPr>
        <w:t xml:space="preserve"> the filed rate, may be subject to retroactive refunds, thereby avoiding impermissible retroactive ratemaking should refunds be ordered.</w:t>
      </w:r>
      <w:r>
        <w:rPr>
          <w:rStyle w:val="FootnoteCharacters"/>
          <w:rStyle w:val="FootnoteReference"/>
          <w:rFonts w:cs="Arial" w:ascii="Arial" w:hAnsi="Arial"/>
        </w:rPr>
        <w:footnoteReference w:id="33"/>
      </w:r>
      <w:r>
        <w:rPr>
          <w:rFonts w:cs="Arial" w:ascii="Arial" w:hAnsi="Arial"/>
        </w:rPr>
        <w:t xml:space="preserve">  However, participants in the Pacific Northwest had no notice from December 25, 2001 through June 20, 2001 that their rates may be subject to refund, since the only viable vehicle to establish a refund effective date during that time was the Puget Sound complaint the Commission rejected.  Parties had no other notice.</w:t>
      </w:r>
      <w:r>
        <w:rPr>
          <w:rStyle w:val="FootnoteCharacters"/>
          <w:rStyle w:val="FootnoteReference"/>
          <w:rFonts w:cs="Arial" w:ascii="Arial" w:hAnsi="Arial"/>
        </w:rPr>
        <w:footnoteReference w:id="34"/>
      </w:r>
      <w:r>
        <w:rPr>
          <w:rFonts w:cs="Arial" w:ascii="Arial" w:hAnsi="Arial"/>
        </w:rPr>
        <w:t xml:space="preserve">  As such, by potentially ordering refunds in the Pacific Northwest without adequate notice to parties, the Commission is engaging in retroactive ratemaking.</w:t>
      </w:r>
    </w:p>
    <w:p>
      <w:pPr>
        <w:pStyle w:val="BodyTextStyle"/>
        <w:rPr/>
      </w:pPr>
      <w:r>
        <w:rPr>
          <w:rFonts w:cs="Arial" w:ascii="Arial" w:hAnsi="Arial"/>
        </w:rPr>
        <w:t xml:space="preserve">Setting aside that no refunds are appropriate and the refund effective date is not correctly set thereby constituting retroactive ratemaking, the Commission’s Order, particularly the use of the word </w:t>
      </w:r>
      <w:r>
        <w:rPr>
          <w:rFonts w:cs="Arial" w:ascii="Arial" w:hAnsi="Arial"/>
          <w:i/>
        </w:rPr>
        <w:t xml:space="preserve">preliminary, </w:t>
      </w:r>
      <w:r>
        <w:rPr>
          <w:rFonts w:cs="Arial" w:ascii="Arial" w:hAnsi="Arial"/>
        </w:rPr>
        <w:t>has created confusion concerning the goal of this proceeding.  Did the Commission intend for this proceeding to determine whether refunds are warranted or simply to gather information on the market in the Pacific Northwest from December 25, 2000 to June 20, 2001 and then allowing parties a later opportunity in a trial type proceeding to later contest whether the data collected warrants ordering refunds?  EPSA believes that a proceeding to gather information is consistent with the Commission’s Order and compressed schedule for action by the parties and the presiding judge.</w:t>
      </w:r>
      <w:r>
        <w:rPr>
          <w:rStyle w:val="FootnoteCharacters"/>
          <w:rStyle w:val="FootnoteReference"/>
          <w:rFonts w:cs="Arial" w:ascii="Arial" w:hAnsi="Arial"/>
        </w:rPr>
        <w:footnoteReference w:id="35"/>
      </w:r>
      <w:r>
        <w:rPr>
          <w:rFonts w:cs="Arial" w:ascii="Arial" w:hAnsi="Arial"/>
        </w:rPr>
        <w:t xml:space="preserve"> The Commission said:</w:t>
      </w:r>
    </w:p>
    <w:p>
      <w:pPr>
        <w:pStyle w:val="BlockQuote"/>
        <w:rPr>
          <w:rFonts w:ascii="Arial" w:hAnsi="Arial" w:cs="Arial"/>
        </w:rPr>
      </w:pPr>
      <w:r>
        <w:rPr>
          <w:rFonts w:cs="Arial" w:ascii="Arial" w:hAnsi="Arial"/>
        </w:rPr>
        <w:t xml:space="preserve">The proceeding is intended to facilitate development of a factual record on whether there may have been unjust and unreasonable charges for spot market bilateral sales in the Pacific Northwest for the period beginning December 25, 2000 through June 20, 2001.  The record should establish the volume of the transactions, the identification of the net sellers and net buyers, the price and terms and conditions of the sales contracts, and the extent of potential refunds. This will help the Commission determine the extent to which the dysfunctions in the California markets may have affected decisions in the Pacific Northwest. </w:t>
      </w:r>
    </w:p>
    <w:p>
      <w:pPr>
        <w:pStyle w:val="BodyTextStyle"/>
        <w:rPr>
          <w:rFonts w:ascii="Arial" w:hAnsi="Arial" w:cs="Arial"/>
        </w:rPr>
      </w:pPr>
      <w:r>
        <w:rPr>
          <w:rFonts w:cs="Arial" w:ascii="Arial" w:hAnsi="Arial"/>
        </w:rPr>
        <w:t>The Commission added:</w:t>
      </w:r>
    </w:p>
    <w:p>
      <w:pPr>
        <w:pStyle w:val="BlockQuote"/>
        <w:rPr>
          <w:rFonts w:ascii="Arial" w:hAnsi="Arial" w:cs="Arial"/>
        </w:rPr>
      </w:pPr>
      <w:r>
        <w:rPr>
          <w:rFonts w:cs="Arial" w:ascii="Arial" w:hAnsi="Arial"/>
        </w:rPr>
        <w:t xml:space="preserve">The judge shall make a recommendation and certify the record and findings of fact to the Commission within 7 days after the close of the discussions. </w:t>
      </w:r>
    </w:p>
    <w:p>
      <w:pPr>
        <w:pStyle w:val="BodyTextStyle"/>
        <w:rPr>
          <w:rFonts w:ascii="Arial" w:hAnsi="Arial" w:cs="Arial"/>
        </w:rPr>
      </w:pPr>
      <w:r>
        <w:rPr>
          <w:rFonts w:cs="Arial" w:ascii="Arial" w:hAnsi="Arial"/>
        </w:rPr>
        <w:t>A proceeding to gather information would be also consistent with the Commission’s recognition that the Chief Judge, during the 15 day California settlement proceeding had little time to address the issues raised by the Pacific Northwest parties.  Moreover, a proceeding to simply gather information would be consistent with the Commission’s recognition that the spot market in the Pacific Northwest may be somewhat different than in California, given the bilateral nature of the Pacific Northwest market and the lack of any organized exchange.  Finally, requiring any final determination on refunds to be made in a 45 day proceeding, would inflict this proceeding with the same procedural deficiencies that inflicted the California proceeding.  Forty-five days is simply not ample time to make a decision on such important issues.</w:t>
      </w:r>
    </w:p>
    <w:p>
      <w:pPr>
        <w:pStyle w:val="Heading1"/>
        <w:ind w:hanging="0" w:start="0"/>
        <w:rPr>
          <w:rFonts w:ascii="Arial" w:hAnsi="Arial" w:cs="Arial"/>
        </w:rPr>
      </w:pPr>
      <w:r>
        <w:rPr>
          <w:rFonts w:cs="Arial" w:ascii="Arial" w:hAnsi="Arial"/>
        </w:rPr>
        <w:t>The Commission Did Not Address The Concerns Of Marketers That Ordering Refunds Based On A Proxy Price Set By A Generator Is Inappropriate</w:t>
      </w:r>
    </w:p>
    <w:p>
      <w:pPr>
        <w:pStyle w:val="BodyTextStyle"/>
        <w:rPr>
          <w:rFonts w:ascii="Arial" w:hAnsi="Arial" w:cs="Arial"/>
        </w:rPr>
      </w:pPr>
      <w:r>
        <w:rPr>
          <w:rFonts w:cs="Arial" w:ascii="Arial" w:hAnsi="Arial"/>
        </w:rPr>
        <w:t>Throughout these proceeding, marketers have stressed that ordering refunds on the basis of a proxy price set by is a generator is inappropriate.  There are differences between generators and power marketers when determining whether a power marketer made sales above prices that a competitive market would yield.</w:t>
      </w:r>
    </w:p>
    <w:p>
      <w:pPr>
        <w:pStyle w:val="BodyTextStyle"/>
        <w:rPr>
          <w:rFonts w:ascii="Arial" w:hAnsi="Arial" w:cs="Arial"/>
        </w:rPr>
      </w:pPr>
      <w:r>
        <w:rPr>
          <w:rFonts w:cs="Arial" w:ascii="Arial" w:hAnsi="Arial"/>
        </w:rPr>
        <w:t>As one party said:</w:t>
      </w:r>
    </w:p>
    <w:p>
      <w:pPr>
        <w:pStyle w:val="BlockQuote"/>
        <w:rPr>
          <w:rFonts w:ascii="Arial" w:hAnsi="Arial" w:cs="Arial"/>
        </w:rPr>
      </w:pPr>
      <w:r>
        <w:rPr>
          <w:rFonts w:cs="Arial" w:ascii="Arial" w:hAnsi="Arial"/>
        </w:rPr>
        <w:t>Because marketers manage their power purchases and sales on a portfolio basis, it is inappropriate to attempt to measure a marketer’s business based on individual sales.  Among other problems it is not reasonable to expect specific power sales to be matched to specific power purchases.  On any given day or over a course of days, a marketer might see wide swings in profits or losses on its trading activity that reflect the real-world mix of its purchase porfolio rather than any post-hoc matching of purchases with sales.</w:t>
      </w:r>
      <w:r>
        <w:rPr>
          <w:rStyle w:val="FootnoteCharacters"/>
          <w:rStyle w:val="FootnoteReference"/>
          <w:rFonts w:cs="Arial" w:ascii="Arial" w:hAnsi="Arial"/>
        </w:rPr>
        <w:footnoteReference w:id="36"/>
      </w:r>
    </w:p>
    <w:p>
      <w:pPr>
        <w:pStyle w:val="BodyTextStyle"/>
        <w:rPr/>
      </w:pPr>
      <w:r>
        <w:rPr>
          <w:rFonts w:cs="Arial" w:ascii="Arial" w:hAnsi="Arial"/>
        </w:rPr>
        <w:t>The Commission’s response in the July 25</w:t>
      </w:r>
      <w:r>
        <w:rPr>
          <w:rFonts w:cs="Arial" w:ascii="Arial" w:hAnsi="Arial"/>
          <w:vertAlign w:val="superscript"/>
        </w:rPr>
        <w:t>th</w:t>
      </w:r>
      <w:r>
        <w:rPr>
          <w:rFonts w:cs="Arial" w:ascii="Arial" w:hAnsi="Arial"/>
        </w:rPr>
        <w:t xml:space="preserve"> Order simply did not address these concerns.  The Commission said: </w:t>
      </w:r>
    </w:p>
    <w:p>
      <w:pPr>
        <w:pStyle w:val="BlockQuote"/>
        <w:rPr>
          <w:rFonts w:ascii="Arial" w:hAnsi="Arial" w:cs="Arial"/>
        </w:rPr>
      </w:pPr>
      <w:r>
        <w:rPr>
          <w:rFonts w:cs="Arial" w:ascii="Arial" w:hAnsi="Arial"/>
        </w:rPr>
        <w:t>Therefore, we will require that the ISO determined the last unit dispatched in real-time the maximum heat rate of any unit dispatched each hour in the real-time imbalance market to the period October 2, 2000 through May 28, 2001.  This should address the concerns of numerous commenters that application of the June 19 methodology from October 2, 2000 forward, particularly with respect to marketers that are price takers, would be confiscatory.</w:t>
      </w:r>
    </w:p>
    <w:p>
      <w:pPr>
        <w:pStyle w:val="BodyTextStyle"/>
        <w:rPr>
          <w:rFonts w:ascii="Arial" w:hAnsi="Arial" w:cs="Arial"/>
        </w:rPr>
      </w:pPr>
      <w:r>
        <w:rPr>
          <w:rFonts w:cs="Arial" w:ascii="Arial" w:hAnsi="Arial"/>
        </w:rPr>
        <w:t>The Courts have recently admonished the Commission:</w:t>
      </w:r>
    </w:p>
    <w:p>
      <w:pPr>
        <w:pStyle w:val="BlockQuote"/>
        <w:rPr/>
      </w:pPr>
      <w:r>
        <w:rPr>
          <w:rFonts w:cs="Arial" w:ascii="Arial" w:hAnsi="Arial"/>
        </w:rPr>
        <w:t>Unless the Commission answers objections that on their face seem legitimate, its decision can hardly be classified as reasonable.</w:t>
      </w:r>
      <w:r>
        <w:rPr>
          <w:rStyle w:val="FootnoteCharacters"/>
          <w:rStyle w:val="FootnoteReference"/>
          <w:rFonts w:cs="Arial" w:ascii="Arial" w:hAnsi="Arial"/>
        </w:rPr>
        <w:footnoteReference w:id="37"/>
      </w:r>
      <w:r>
        <w:rPr>
          <w:rFonts w:cs="Arial" w:ascii="Arial" w:hAnsi="Arial"/>
        </w:rPr>
        <w:t xml:space="preserve"> </w:t>
      </w:r>
    </w:p>
    <w:p>
      <w:pPr>
        <w:pStyle w:val="BlockQuote"/>
        <w:spacing w:lineRule="auto" w:line="480"/>
        <w:ind w:firstLine="720" w:start="0" w:end="0"/>
        <w:rPr/>
      </w:pPr>
      <w:r>
        <w:rPr>
          <w:rFonts w:cs="Arial" w:ascii="Arial" w:hAnsi="Arial"/>
        </w:rPr>
        <w:t>The Commission’s Order fails to meet this standard and will result in an impact on power marketers that is unduly harsh.  As EPSA pointed out in our Request for Rehearing of the June 19</w:t>
      </w:r>
      <w:r>
        <w:rPr>
          <w:rFonts w:cs="Arial" w:ascii="Arial" w:hAnsi="Arial"/>
          <w:vertAlign w:val="superscript"/>
        </w:rPr>
        <w:t>th</w:t>
      </w:r>
      <w:r>
        <w:rPr>
          <w:rFonts w:cs="Arial" w:ascii="Arial" w:hAnsi="Arial"/>
        </w:rPr>
        <w:t xml:space="preserve"> Order, power marketers play an important role in a competitive marketplace, providing liquidity, managing credit and price risk, offering products and services tailored to meet customers needs.  By adopting policies that frustrate and stymie participation by power marketers, the Commission will ultimately produce an even more dysfunctional power marketplace.</w:t>
      </w:r>
    </w:p>
    <w:p>
      <w:pPr>
        <w:pStyle w:val="BlockQuote"/>
        <w:spacing w:lineRule="auto" w:line="480"/>
        <w:ind w:firstLine="720" w:start="0" w:end="0"/>
        <w:rPr/>
      </w:pPr>
      <w:r>
        <w:rPr>
          <w:rFonts w:cs="Arial" w:ascii="Arial" w:hAnsi="Arial"/>
          <w:lang w:val="en-CA" w:eastAsia="en-CA"/>
        </w:rPr>
        <w:tab/>
        <w:t>Requiring power marketers to tie any potential refund liability to the operating costs of the least efficent generator – however those costs are ultimately derived – simply ignores reality.  Marketers offer their customers a variety of products designed to meet that customers need for reliability, price certainty, and risk management.  Those costs have nothing to do with the operating costs of any particular generating unit.  As a simple matter of fairness, power marketers must have the opportunity to show and recover their actual costs, particularly on a retrospective basis.  While power marketers may have the ability to change their future purchasing behavior based on the Commission’s directives (or exit the business), power markets do not provide an opportunity to “do over” completed transactions.  In additon, every prior Commission Order permitted parties to provide information about costs over the Commission’s threshhold and, with an adeqaute showing, recover those costs.  Simple equity requires that power marketers be provided a similar opportunity under the July 25</w:t>
      </w:r>
      <w:r>
        <w:rPr>
          <w:rFonts w:cs="Arial" w:ascii="Arial" w:hAnsi="Arial"/>
          <w:vertAlign w:val="superscript"/>
          <w:lang w:val="en-CA" w:eastAsia="en-CA"/>
        </w:rPr>
        <w:t>th</w:t>
      </w:r>
      <w:r>
        <w:rPr>
          <w:rFonts w:cs="Arial" w:ascii="Arial" w:hAnsi="Arial"/>
          <w:lang w:val="en-CA" w:eastAsia="en-CA"/>
        </w:rPr>
        <w:t xml:space="preserve"> Order.  </w:t>
      </w:r>
    </w:p>
    <w:p>
      <w:pPr>
        <w:pStyle w:val="Normal"/>
        <w:autoSpaceDE w:val="false"/>
        <w:spacing w:before="0" w:after="240"/>
        <w:rPr>
          <w:b/>
        </w:rPr>
      </w:pPr>
      <w:r>
        <w:rPr>
          <w:b/>
        </w:rPr>
        <w:t>CONCLUSION</w:t>
      </w:r>
    </w:p>
    <w:p>
      <w:pPr>
        <w:pStyle w:val="BodyTextStyle"/>
        <w:rPr/>
      </w:pPr>
      <w:r>
        <w:rPr>
          <w:rFonts w:cs="Arial" w:ascii="Arial" w:hAnsi="Arial"/>
        </w:rPr>
        <w:t>Unfortunately, the refund procedures put into place in the July 25</w:t>
      </w:r>
      <w:r>
        <w:rPr>
          <w:rFonts w:cs="Arial" w:ascii="Arial" w:hAnsi="Arial"/>
          <w:vertAlign w:val="superscript"/>
        </w:rPr>
        <w:t>th</w:t>
      </w:r>
      <w:r>
        <w:rPr>
          <w:rFonts w:cs="Arial" w:ascii="Arial" w:hAnsi="Arial"/>
        </w:rPr>
        <w:t xml:space="preserve"> Order are fatally flawed and must be substantially revised to bring about an equitable and final conclusion to solve the problems facing California’s electricity markets.  As outlined herein, the Commission should fundamentally revise its latest Order to provide maximum certainty and much needed stability to market participants.</w:t>
      </w:r>
    </w:p>
    <w:p>
      <w:pPr>
        <w:pStyle w:val="bodytext-indent"/>
        <w:spacing w:lineRule="auto" w:line="240"/>
        <w:ind w:hanging="0" w:end="0"/>
        <w:rPr>
          <w:rFonts w:ascii="Arial" w:hAnsi="Arial" w:cs="Arial"/>
          <w:b/>
        </w:rPr>
      </w:pPr>
      <w:r>
        <w:rPr>
          <w:rFonts w:cs="Arial" w:ascii="Arial" w:hAnsi="Arial"/>
          <w:b/>
        </w:rPr>
      </w:r>
    </w:p>
    <w:p>
      <w:pPr>
        <w:pStyle w:val="bodytext-indent"/>
        <w:spacing w:lineRule="auto" w:line="240"/>
        <w:ind w:hanging="0" w:end="0"/>
        <w:rPr>
          <w:rFonts w:ascii="Arial" w:hAnsi="Arial" w:cs="Arial"/>
        </w:rPr>
      </w:pPr>
      <w:r>
        <w:rPr>
          <w:rFonts w:cs="Arial" w:ascii="Arial" w:hAnsi="Arial"/>
        </w:rPr>
        <w:t>August 24, 2001</w:t>
      </w:r>
    </w:p>
    <w:p>
      <w:pPr>
        <w:pStyle w:val="bodytext-indent"/>
        <w:spacing w:lineRule="auto" w:line="240"/>
        <w:ind w:hanging="0" w:end="0"/>
        <w:rPr>
          <w:rFonts w:ascii="Arial" w:hAnsi="Arial" w:cs="Arial"/>
        </w:rPr>
      </w:pPr>
      <w:r>
        <w:rPr>
          <w:rFonts w:cs="Arial" w:ascii="Arial" w:hAnsi="Arial"/>
        </w:rPr>
      </w:r>
    </w:p>
    <w:p>
      <w:pPr>
        <w:pStyle w:val="SignatureBlock"/>
        <w:ind w:start="4320" w:end="0"/>
        <w:rPr>
          <w:rFonts w:ascii="Arial" w:hAnsi="Arial" w:cs="Arial"/>
        </w:rPr>
      </w:pPr>
      <w:r>
        <w:rPr>
          <w:rFonts w:cs="Arial" w:ascii="Arial" w:hAnsi="Arial"/>
        </w:rPr>
        <w:t>Respectfully submitted,</w:t>
      </w:r>
    </w:p>
    <w:p>
      <w:pPr>
        <w:pStyle w:val="SignatureBlock"/>
        <w:rPr>
          <w:rFonts w:ascii="Arial" w:hAnsi="Arial" w:cs="Arial"/>
        </w:rPr>
      </w:pPr>
      <w:r>
        <w:rPr>
          <w:rFonts w:cs="Arial" w:ascii="Arial" w:hAnsi="Arial"/>
        </w:rPr>
      </w:r>
    </w:p>
    <w:p>
      <w:pPr>
        <w:pStyle w:val="SignatureBlock"/>
        <w:rPr>
          <w:rFonts w:ascii="Arial" w:hAnsi="Arial" w:cs="Arial"/>
          <w:u w:val="single"/>
        </w:rPr>
      </w:pPr>
      <w:r>
        <w:rPr>
          <w:rFonts w:cs="Arial" w:ascii="Arial" w:hAnsi="Arial"/>
          <w:u w:val="single"/>
        </w:rPr>
      </w:r>
    </w:p>
    <w:p>
      <w:pPr>
        <w:pStyle w:val="SignatureBlock"/>
        <w:ind w:start="0" w:end="0"/>
        <w:rPr>
          <w:rFonts w:ascii="Arial" w:hAnsi="Arial" w:cs="Arial"/>
          <w:u w:val="single"/>
        </w:rPr>
      </w:pPr>
      <w:r>
        <w:rPr>
          <w:rFonts w:cs="Arial" w:ascii="Arial" w:hAnsi="Arial"/>
          <w:u w:val="single"/>
        </w:rPr>
      </w:r>
    </w:p>
    <w:p>
      <w:pPr>
        <w:pStyle w:val="SignatureBlock"/>
        <w:ind w:start="0" w:end="0"/>
        <w:rPr/>
      </w:pPr>
      <w:r>
        <w:rPr>
          <w:rFonts w:cs="Arial" w:ascii="Arial" w:hAnsi="Arial"/>
        </w:rPr>
        <w:tab/>
        <w:tab/>
        <w:tab/>
        <w:tab/>
        <w:tab/>
        <w:tab/>
      </w:r>
      <w:r>
        <w:rPr>
          <w:rFonts w:cs="Arial" w:ascii="Arial" w:hAnsi="Arial"/>
          <w:u w:val="single"/>
        </w:rPr>
        <w:tab/>
        <w:tab/>
        <w:tab/>
        <w:tab/>
      </w:r>
    </w:p>
    <w:p>
      <w:pPr>
        <w:pStyle w:val="Normal"/>
        <w:ind w:firstLine="720" w:start="3600" w:end="0"/>
        <w:rPr/>
      </w:pPr>
      <w:r>
        <w:rPr/>
        <w:t>Julie Simon</w:t>
      </w:r>
    </w:p>
    <w:p>
      <w:pPr>
        <w:pStyle w:val="Normal"/>
        <w:ind w:firstLine="720" w:start="3600" w:end="0"/>
        <w:rPr/>
      </w:pPr>
      <w:r>
        <w:rPr/>
        <w:t>Vice President of Policy</w:t>
      </w:r>
    </w:p>
    <w:p>
      <w:pPr>
        <w:pStyle w:val="Normal"/>
        <w:ind w:firstLine="720" w:start="3600" w:end="0"/>
        <w:rPr/>
      </w:pPr>
      <w:r>
        <w:rPr/>
        <w:t>Electric Power Supply Association</w:t>
        <w:tab/>
        <w:tab/>
        <w:t>1401 New York Avenue, NW</w:t>
        <w:tab/>
        <w:tab/>
        <w:tab/>
        <w:t>11</w:t>
      </w:r>
      <w:r>
        <w:rPr>
          <w:vertAlign w:val="superscript"/>
        </w:rPr>
        <w:t>th</w:t>
      </w:r>
      <w:r>
        <w:rPr/>
        <w:t xml:space="preserve"> Floor</w:t>
      </w:r>
    </w:p>
    <w:p>
      <w:pPr>
        <w:pStyle w:val="Normal"/>
        <w:rPr/>
      </w:pPr>
      <w:r>
        <w:rPr/>
        <w:tab/>
        <w:tab/>
        <w:tab/>
        <w:tab/>
        <w:tab/>
        <w:tab/>
        <w:t>Washington, DC 20005</w:t>
      </w:r>
    </w:p>
    <w:p>
      <w:pPr>
        <w:pStyle w:val="Normal"/>
        <w:rPr/>
      </w:pPr>
      <w:r>
        <w:rPr/>
        <w:tab/>
        <w:tab/>
        <w:tab/>
        <w:tab/>
        <w:tab/>
        <w:tab/>
        <w:t>(202) 628-8200</w:t>
      </w:r>
    </w:p>
    <w:p>
      <w:pPr>
        <w:pStyle w:val="Normal"/>
        <w:rPr/>
      </w:pPr>
      <w:r>
        <w:rPr/>
      </w:r>
    </w:p>
    <w:p>
      <w:pPr>
        <w:pStyle w:val="Normal"/>
        <w:rPr/>
      </w:pPr>
      <w:r>
        <w:rPr/>
      </w:r>
    </w:p>
    <w:p>
      <w:pPr>
        <w:pStyle w:val="Normal"/>
        <w:rPr/>
      </w:pPr>
      <w:r>
        <w:rPr/>
      </w:r>
    </w:p>
    <w:p>
      <w:pPr>
        <w:pStyle w:val="BlockQuote"/>
        <w:spacing w:lineRule="auto" w:line="480"/>
        <w:ind w:firstLine="720" w:start="0" w:end="0"/>
        <w:rPr>
          <w:rFonts w:ascii="Arial" w:hAnsi="Arial" w:cs="Arial"/>
          <w:lang w:val="en-CA" w:eastAsia="en-CA"/>
        </w:rPr>
      </w:pPr>
      <w:r>
        <w:rPr>
          <w:rFonts w:cs="Arial" w:ascii="Arial" w:hAnsi="Arial"/>
          <w:lang w:val="en-CA" w:eastAsia="en-CA"/>
        </w:rPr>
      </w:r>
    </w:p>
    <w:p>
      <w:pPr>
        <w:pStyle w:val="Normal"/>
        <w:rPr>
          <w:rFonts w:ascii="Arial" w:hAnsi="Arial" w:cs="Arial"/>
          <w:lang w:val="en-CA" w:eastAsia="en-CA"/>
        </w:rPr>
      </w:pPr>
      <w:r>
        <w:rPr>
          <w:rFonts w:cs="Arial"/>
          <w:lang w:val="en-CA" w:eastAsia="en-CA"/>
        </w:rPr>
      </w:r>
    </w:p>
    <w:sectPr>
      <w:headerReference w:type="default" r:id="rId2"/>
      <w:footerReference w:type="default" r:id="rId3"/>
      <w:footnotePr>
        <w:numFmt w:val="decimal"/>
      </w:footnotePr>
      <w:type w:val="nextPage"/>
      <w:pgSz w:w="12240" w:h="15840"/>
      <w:pgMar w:left="1800" w:right="1800" w:gutter="0" w:header="720" w:top="1440" w:footer="72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Galliard">
    <w:altName w:val="Times New Roman"/>
    <w:charset w:val="00" w:characterSet="windows-1252"/>
    <w:family w:val="roman"/>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r>
      <mc:AlternateContent>
        <mc:Choice Requires="wps">
          <w:drawing>
            <wp:anchor behindDoc="0" distT="0" distB="0" distL="0" distR="0" simplePos="0" locked="0" layoutInCell="0" allowOverlap="1" relativeHeight="23">
              <wp:simplePos x="0" y="0"/>
              <wp:positionH relativeFrom="margin">
                <wp:align>center</wp:align>
              </wp:positionH>
              <wp:positionV relativeFrom="paragraph">
                <wp:posOffset>635</wp:posOffset>
              </wp:positionV>
              <wp:extent cx="169545" cy="175260"/>
              <wp:effectExtent l="0" t="0" r="0" b="0"/>
              <wp:wrapSquare wrapText="bothSides"/>
              <wp:docPr id="1" name="Frame1"/>
              <a:graphic xmlns:a="http://schemas.openxmlformats.org/drawingml/2006/main">
                <a:graphicData uri="http://schemas.microsoft.com/office/word/2010/wordprocessingShape">
                  <wps:wsp>
                    <wps:cNvSpPr txBox="1"/>
                    <wps:spPr>
                      <a:xfrm>
                        <a:off x="0" y="0"/>
                        <a:ext cx="169545" cy="175260"/>
                      </a:xfrm>
                      <a:prstGeom prst="rect"/>
                      <a:solidFill>
                        <a:srgbClr val="FFFFFF">
                          <a:alpha val="0"/>
                        </a:srgbClr>
                      </a:solidFill>
                    </wps:spPr>
                    <wps:txbx>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22</w:t>
                          </w:r>
                          <w:r>
                            <w:rPr>
                              <w:rStyle w:val="PageNumber"/>
                            </w:rPr>
                            <w:fldChar w:fldCharType="end"/>
                          </w:r>
                        </w:p>
                      </w:txbxContent>
                    </wps:txbx>
                    <wps:bodyPr anchor="t" lIns="0" tIns="0" rIns="0" bIns="0">
                      <a:noAutofit/>
                    </wps:bodyPr>
                  </wps:wsp>
                </a:graphicData>
              </a:graphic>
            </wp:anchor>
          </w:drawing>
        </mc:Choice>
        <mc:Fallback>
          <w:pict>
            <v:rect fillcolor="#FFFFFF" style="position:absolute;rotation:-0;width:13.35pt;height:13.8pt;mso-wrap-distance-left:0pt;mso-wrap-distance-right:0pt;mso-wrap-distance-top:0pt;mso-wrap-distance-bottom:0pt;margin-top:0.05pt;mso-position-vertical-relative:text;margin-left:209.35pt;mso-position-horizontal:center;mso-position-horizontal-relative:margin">
              <v:fill opacity="0f"/>
              <v:textbox inset="0in,0in,0in,0in">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22</w:t>
                    </w:r>
                    <w:r>
                      <w:rPr>
                        <w:rStyle w:val="PageNumber"/>
                      </w:rPr>
                      <w:fldChar w:fldCharType="end"/>
                    </w:r>
                  </w:p>
                </w:txbxContent>
              </v:textbox>
              <w10:wrap type="square"/>
            </v:rect>
          </w:pict>
        </mc:Fallback>
      </mc:AlternateContent>
    </w:r>
  </w:p>
</w:ftr>
</file>

<file path=word/footnotes.xml><?xml version="1.0" encoding="utf-8"?>
<w:foot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footnote w:id="0" w:type="separator">
    <w:p>
      <w:r>
        <w:separator/>
      </w:r>
    </w:p>
  </w:footnote>
  <w:footnote w:id="1" w:type="continuationSeparator">
    <w:p>
      <w:r>
        <w:continuationSeparator/>
      </w:r>
    </w:p>
  </w:footnote>
  <w:footnote w:id="2">
    <w:p>
      <w:pPr>
        <w:pStyle w:val="FootnoteText"/>
        <w:spacing w:lineRule="exact" w:line="260" w:before="0" w:after="120"/>
        <w:rPr/>
      </w:pPr>
      <w:r>
        <w:rPr>
          <w:rStyle w:val="FootnoteCharacters"/>
        </w:rPr>
        <w:footnoteRef/>
      </w:r>
      <w:r>
        <w:rPr>
          <w:rFonts w:cs="Arial" w:ascii="Arial" w:hAnsi="Arial"/>
          <w:sz w:val="20"/>
        </w:rPr>
        <w:t xml:space="preserve"> </w:t>
      </w:r>
      <w:r>
        <w:rPr>
          <w:rFonts w:cs="Arial" w:ascii="Arial" w:hAnsi="Arial"/>
          <w:sz w:val="20"/>
        </w:rPr>
        <w:t>Insert cite.</w:t>
      </w:r>
    </w:p>
  </w:footnote>
  <w:footnote w:id="3">
    <w:p>
      <w:pPr>
        <w:pStyle w:val="FootnoteText"/>
        <w:spacing w:lineRule="exact" w:line="260" w:before="0" w:after="120"/>
        <w:rPr/>
      </w:pPr>
      <w:r>
        <w:rPr>
          <w:rStyle w:val="FootnoteCharacters"/>
        </w:rPr>
        <w:footnoteRef/>
      </w:r>
      <w:r>
        <w:rPr>
          <w:rFonts w:cs="Arial" w:ascii="Arial" w:hAnsi="Arial"/>
          <w:sz w:val="20"/>
        </w:rPr>
        <w:t xml:space="preserve"> </w:t>
      </w:r>
      <w:r>
        <w:rPr>
          <w:rFonts w:cs="Arial" w:ascii="Arial" w:hAnsi="Arial"/>
          <w:sz w:val="20"/>
        </w:rPr>
        <w:t>Insert cite./</w:t>
      </w:r>
    </w:p>
  </w:footnote>
  <w:footnote w:id="4">
    <w:p>
      <w:pPr>
        <w:pStyle w:val="FootnoteText"/>
        <w:spacing w:lineRule="exact" w:line="260" w:before="0" w:after="120"/>
        <w:rPr/>
      </w:pPr>
      <w:r>
        <w:rPr>
          <w:rStyle w:val="FootnoteCharacters"/>
        </w:rPr>
        <w:footnoteRef/>
      </w:r>
      <w:r>
        <w:rPr>
          <w:rFonts w:cs="Arial" w:ascii="Arial" w:hAnsi="Arial"/>
          <w:sz w:val="20"/>
        </w:rPr>
        <w:t xml:space="preserve"> </w:t>
      </w:r>
      <w:r>
        <w:rPr>
          <w:rFonts w:cs="Arial" w:ascii="Arial" w:hAnsi="Arial"/>
          <w:sz w:val="20"/>
        </w:rPr>
        <w:t>The Commission did not address requests for rehearing of the November 1, 2000 Order which argued that the appropriate refund effective date is October 29, 2000.  Yet, throughout the order the Commission maintains that October 2</w:t>
      </w:r>
      <w:r>
        <w:rPr>
          <w:rFonts w:cs="Arial" w:ascii="Arial" w:hAnsi="Arial"/>
          <w:sz w:val="20"/>
          <w:vertAlign w:val="superscript"/>
        </w:rPr>
        <w:t>nd</w:t>
      </w:r>
      <w:r>
        <w:rPr>
          <w:rFonts w:cs="Arial" w:ascii="Arial" w:hAnsi="Arial"/>
          <w:sz w:val="20"/>
        </w:rPr>
        <w:t xml:space="preserve"> is the appropriate date.</w:t>
      </w:r>
    </w:p>
  </w:footnote>
  <w:footnote w:id="5">
    <w:p>
      <w:pPr>
        <w:pStyle w:val="FootnoteText"/>
        <w:spacing w:lineRule="exact" w:line="260" w:before="0" w:after="120"/>
        <w:rPr/>
      </w:pPr>
      <w:r>
        <w:rPr>
          <w:rStyle w:val="FootnoteCharacters"/>
        </w:rPr>
        <w:footnoteRef/>
      </w:r>
      <w:r>
        <w:rPr>
          <w:rFonts w:cs="Arial" w:ascii="Arial" w:hAnsi="Arial"/>
          <w:sz w:val="20"/>
        </w:rPr>
        <w:t xml:space="preserve"> </w:t>
      </w:r>
      <w:r>
        <w:rPr>
          <w:rFonts w:cs="Arial" w:ascii="Arial" w:hAnsi="Arial"/>
          <w:sz w:val="20"/>
        </w:rPr>
        <w:t>cite August 23</w:t>
      </w:r>
      <w:r>
        <w:rPr>
          <w:rFonts w:cs="Arial" w:ascii="Arial" w:hAnsi="Arial"/>
          <w:sz w:val="20"/>
          <w:vertAlign w:val="superscript"/>
        </w:rPr>
        <w:t>rd</w:t>
      </w:r>
      <w:r>
        <w:rPr>
          <w:rFonts w:cs="Arial" w:ascii="Arial" w:hAnsi="Arial"/>
          <w:sz w:val="20"/>
        </w:rPr>
        <w:t xml:space="preserve"> Orders.</w:t>
      </w:r>
    </w:p>
  </w:footnote>
  <w:footnote w:id="6">
    <w:p>
      <w:pPr>
        <w:pStyle w:val="FootnoteText"/>
        <w:spacing w:lineRule="exact" w:line="260" w:before="0" w:after="120"/>
        <w:rPr/>
      </w:pPr>
      <w:r>
        <w:rPr>
          <w:rStyle w:val="FootnoteCharacters"/>
        </w:rPr>
        <w:footnoteRef/>
      </w:r>
      <w:r>
        <w:rPr>
          <w:rFonts w:cs="Arial" w:ascii="Arial" w:hAnsi="Arial"/>
          <w:sz w:val="20"/>
        </w:rPr>
        <w:t xml:space="preserve"> </w:t>
      </w:r>
    </w:p>
  </w:footnote>
  <w:footnote w:id="7">
    <w:p>
      <w:pPr>
        <w:pStyle w:val="FootnoteText"/>
        <w:spacing w:lineRule="exact" w:line="260" w:before="0" w:after="120"/>
        <w:rPr/>
      </w:pPr>
      <w:r>
        <w:rPr>
          <w:rStyle w:val="FootnoteCharacters"/>
        </w:rPr>
        <w:footnoteRef/>
      </w:r>
      <w:r>
        <w:rPr>
          <w:rFonts w:cs="Arial" w:ascii="Arial" w:hAnsi="Arial"/>
          <w:sz w:val="20"/>
        </w:rPr>
        <w:t xml:space="preserve"> </w:t>
      </w:r>
      <w:r>
        <w:rPr>
          <w:rFonts w:cs="Arial" w:ascii="Arial" w:hAnsi="Arial"/>
          <w:sz w:val="20"/>
        </w:rPr>
        <w:t>Insert FN.</w:t>
      </w:r>
    </w:p>
  </w:footnote>
  <w:footnote w:id="8">
    <w:p>
      <w:pPr>
        <w:pStyle w:val="FootnoteText"/>
        <w:spacing w:lineRule="exact" w:line="260" w:before="0" w:after="120"/>
        <w:rPr/>
      </w:pPr>
      <w:r>
        <w:rPr>
          <w:rStyle w:val="FootnoteCharacters"/>
        </w:rPr>
        <w:footnoteRef/>
      </w:r>
      <w:r>
        <w:rPr>
          <w:rFonts w:cs="Arial" w:ascii="Arial" w:hAnsi="Arial"/>
          <w:sz w:val="20"/>
        </w:rPr>
        <w:t xml:space="preserve"> </w:t>
      </w:r>
      <w:r>
        <w:rPr>
          <w:rFonts w:cs="Arial" w:ascii="Arial" w:hAnsi="Arial"/>
          <w:sz w:val="20"/>
        </w:rPr>
        <w:t>Insert cite.</w:t>
      </w:r>
    </w:p>
  </w:footnote>
  <w:footnote w:id="9">
    <w:p>
      <w:pPr>
        <w:pStyle w:val="FootnoteText"/>
        <w:spacing w:lineRule="exact" w:line="260" w:before="0" w:after="120"/>
        <w:rPr/>
      </w:pPr>
      <w:r>
        <w:rPr>
          <w:rStyle w:val="FootnoteCharacters"/>
        </w:rPr>
        <w:footnoteRef/>
      </w:r>
      <w:r>
        <w:rPr>
          <w:rFonts w:cs="Arial" w:ascii="Arial" w:hAnsi="Arial"/>
          <w:sz w:val="20"/>
        </w:rPr>
        <w:t xml:space="preserve"> </w:t>
      </w:r>
      <w:r>
        <w:rPr>
          <w:rFonts w:cs="Arial" w:ascii="Arial" w:hAnsi="Arial"/>
          <w:sz w:val="20"/>
        </w:rPr>
        <w:t>December 15 Order at 61,998.</w:t>
      </w:r>
    </w:p>
  </w:footnote>
  <w:footnote w:id="10">
    <w:p>
      <w:pPr>
        <w:pStyle w:val="FootnoteText"/>
        <w:spacing w:lineRule="exact" w:line="260" w:before="0" w:after="120"/>
        <w:rPr/>
      </w:pPr>
      <w:r>
        <w:rPr>
          <w:rStyle w:val="FootnoteCharacters"/>
        </w:rPr>
        <w:footnoteRef/>
      </w:r>
      <w:r>
        <w:rPr>
          <w:rFonts w:cs="Arial" w:ascii="Arial" w:hAnsi="Arial"/>
          <w:sz w:val="20"/>
        </w:rPr>
        <w:t xml:space="preserve"> </w:t>
      </w:r>
      <w:r>
        <w:rPr>
          <w:rFonts w:cs="Arial" w:ascii="Arial" w:hAnsi="Arial"/>
          <w:sz w:val="20"/>
        </w:rPr>
        <w:t>93 FERC ¶61,294, at 61,998 (2000).</w:t>
      </w:r>
    </w:p>
  </w:footnote>
  <w:footnote w:id="11">
    <w:p>
      <w:pPr>
        <w:pStyle w:val="BlockQuote"/>
        <w:spacing w:before="120" w:after="120"/>
        <w:ind w:start="0" w:end="1080"/>
        <w:rPr>
          <w:rStyle w:val="FootnoteCharacters"/>
          <w:rFonts w:ascii="Arial" w:hAnsi="Arial" w:cs="Arial"/>
          <w:sz w:val="20"/>
        </w:rPr>
      </w:pPr>
      <w:r>
        <w:rPr>
          <w:rStyle w:val="FootnoteCharacters"/>
        </w:rPr>
        <w:footnoteRef/>
      </w:r>
      <w:r>
        <w:rPr/>
      </w:r>
    </w:p>
  </w:footnote>
  <w:footnote w:id="12">
    <w:p>
      <w:pPr>
        <w:pStyle w:val="FootnoteText"/>
        <w:spacing w:lineRule="exact" w:line="260" w:before="0" w:after="120"/>
        <w:rPr/>
      </w:pPr>
      <w:r>
        <w:rPr>
          <w:rStyle w:val="FootnoteCharacters"/>
        </w:rPr>
        <w:footnoteRef/>
      </w:r>
      <w:r>
        <w:rPr>
          <w:rFonts w:cs="Arial" w:ascii="Arial" w:hAnsi="Arial"/>
          <w:sz w:val="20"/>
        </w:rPr>
        <w:t xml:space="preserve"> </w:t>
      </w:r>
    </w:p>
  </w:footnote>
  <w:footnote w:id="13">
    <w:p>
      <w:pPr>
        <w:pStyle w:val="FootnoteText"/>
        <w:spacing w:lineRule="auto" w:line="240" w:before="0" w:after="120"/>
        <w:rPr/>
      </w:pPr>
      <w:r>
        <w:rPr>
          <w:rStyle w:val="FootnoteCharacters"/>
        </w:rPr>
        <w:footnoteRef/>
      </w:r>
      <w:r>
        <w:rPr>
          <w:rFonts w:cs="Arial" w:ascii="Arial" w:hAnsi="Arial"/>
          <w:sz w:val="20"/>
        </w:rPr>
        <w:t xml:space="preserve"> </w:t>
      </w:r>
      <w:r>
        <w:rPr>
          <w:rFonts w:cs="Arial" w:ascii="Arial" w:hAnsi="Arial"/>
          <w:sz w:val="20"/>
        </w:rPr>
        <w:t>In the April 26</w:t>
      </w:r>
      <w:r>
        <w:rPr>
          <w:rFonts w:cs="Arial" w:ascii="Arial" w:hAnsi="Arial"/>
          <w:sz w:val="20"/>
          <w:vertAlign w:val="superscript"/>
        </w:rPr>
        <w:t>th</w:t>
      </w:r>
      <w:r>
        <w:rPr>
          <w:rFonts w:cs="Arial" w:ascii="Arial" w:hAnsi="Arial"/>
          <w:sz w:val="20"/>
        </w:rPr>
        <w:t xml:space="preserve"> Order, the Commission established mitigation during Stage 1, 2 and 3 emergencies.  On June 19</w:t>
      </w:r>
      <w:r>
        <w:rPr>
          <w:rFonts w:cs="Arial" w:ascii="Arial" w:hAnsi="Arial"/>
          <w:sz w:val="20"/>
          <w:vertAlign w:val="superscript"/>
        </w:rPr>
        <w:t>th</w:t>
      </w:r>
      <w:r>
        <w:rPr>
          <w:rFonts w:cs="Arial" w:ascii="Arial" w:hAnsi="Arial"/>
          <w:sz w:val="20"/>
        </w:rPr>
        <w:t xml:space="preserve"> the Commission established mitigation on a going forward basis for all hours.</w:t>
      </w:r>
    </w:p>
  </w:footnote>
  <w:footnote w:id="14">
    <w:p>
      <w:pPr>
        <w:pStyle w:val="FootnoteText"/>
        <w:spacing w:lineRule="exact" w:line="260" w:before="0" w:after="120"/>
        <w:rPr/>
      </w:pPr>
      <w:r>
        <w:rPr>
          <w:rStyle w:val="FootnoteCharacters"/>
        </w:rPr>
        <w:footnoteRef/>
      </w:r>
      <w:r>
        <w:rPr>
          <w:rFonts w:cs="Arial" w:ascii="Arial" w:hAnsi="Arial"/>
          <w:sz w:val="20"/>
        </w:rPr>
        <w:t xml:space="preserve"> </w:t>
      </w:r>
      <w:r>
        <w:rPr>
          <w:rFonts w:cs="Arial" w:ascii="Arial" w:hAnsi="Arial"/>
          <w:sz w:val="20"/>
        </w:rPr>
        <w:t>Cite March 9</w:t>
      </w:r>
      <w:r>
        <w:rPr>
          <w:rFonts w:cs="Arial" w:ascii="Arial" w:hAnsi="Arial"/>
          <w:sz w:val="20"/>
          <w:vertAlign w:val="superscript"/>
        </w:rPr>
        <w:t>th</w:t>
      </w:r>
      <w:r>
        <w:rPr>
          <w:rFonts w:cs="Arial" w:ascii="Arial" w:hAnsi="Arial"/>
          <w:sz w:val="20"/>
        </w:rPr>
        <w:t xml:space="preserve"> Order establishing refunds during Stage 3 emergencies January.</w:t>
      </w:r>
    </w:p>
  </w:footnote>
  <w:footnote w:id="15">
    <w:p>
      <w:pPr>
        <w:pStyle w:val="FootnoteText"/>
        <w:spacing w:lineRule="auto" w:line="240" w:before="0" w:after="120"/>
        <w:rPr/>
      </w:pPr>
      <w:r>
        <w:rPr>
          <w:rStyle w:val="FootnoteCharacters"/>
        </w:rPr>
        <w:footnoteRef/>
      </w:r>
      <w:r>
        <w:rPr>
          <w:rFonts w:cs="Arial" w:ascii="Arial" w:hAnsi="Arial"/>
          <w:sz w:val="20"/>
        </w:rPr>
        <w:t xml:space="preserve"> </w:t>
      </w:r>
      <w:r>
        <w:rPr>
          <w:rFonts w:cs="Arial" w:ascii="Arial" w:hAnsi="Arial"/>
          <w:sz w:val="20"/>
        </w:rPr>
        <w:t>As discussed earlier, the demand response requirement also limits the incentive for a generator to economically withhold capacity by bidding a high price, if the generator bids a high price, it may not get dispatched at all if its price exceeds the demand bid.</w:t>
      </w:r>
    </w:p>
  </w:footnote>
  <w:footnote w:id="16">
    <w:p>
      <w:pPr>
        <w:pStyle w:val="FootnoteText"/>
        <w:spacing w:lineRule="exact" w:line="260" w:before="0" w:after="120"/>
        <w:rPr/>
      </w:pPr>
      <w:r>
        <w:rPr>
          <w:rStyle w:val="FootnoteCharacters"/>
        </w:rPr>
        <w:footnoteRef/>
      </w:r>
      <w:r>
        <w:rPr>
          <w:rFonts w:cs="Arial" w:ascii="Arial" w:hAnsi="Arial"/>
          <w:sz w:val="20"/>
        </w:rPr>
        <w:t xml:space="preserve"> </w:t>
      </w:r>
    </w:p>
  </w:footnote>
  <w:footnote w:id="17">
    <w:p>
      <w:pPr>
        <w:pStyle w:val="FootnoteText"/>
        <w:spacing w:lineRule="exact" w:line="260" w:before="0" w:after="120"/>
        <w:rPr/>
      </w:pPr>
      <w:r>
        <w:rPr>
          <w:rStyle w:val="FootnoteCharacters"/>
        </w:rPr>
        <w:footnoteRef/>
      </w:r>
      <w:r>
        <w:rPr>
          <w:rFonts w:cs="Arial" w:ascii="Arial" w:hAnsi="Arial"/>
          <w:sz w:val="20"/>
        </w:rPr>
        <w:t xml:space="preserve"> </w:t>
      </w:r>
      <w:r>
        <w:rPr>
          <w:rFonts w:cs="Arial" w:ascii="Arial" w:hAnsi="Arial"/>
          <w:sz w:val="20"/>
        </w:rPr>
        <w:t>Insert cite</w:t>
      </w:r>
    </w:p>
  </w:footnote>
  <w:footnote w:id="18">
    <w:p>
      <w:pPr>
        <w:pStyle w:val="FootnoteText"/>
        <w:spacing w:lineRule="exact" w:line="260" w:before="0" w:after="120"/>
        <w:rPr/>
      </w:pPr>
      <w:r>
        <w:rPr>
          <w:rStyle w:val="FootnoteCharacters"/>
        </w:rPr>
        <w:footnoteRef/>
      </w:r>
      <w:r>
        <w:rPr>
          <w:rFonts w:cs="Arial" w:ascii="Arial" w:hAnsi="Arial"/>
          <w:sz w:val="20"/>
        </w:rPr>
        <w:t xml:space="preserve"> </w:t>
      </w:r>
    </w:p>
  </w:footnote>
  <w:footnote w:id="19">
    <w:p>
      <w:pPr>
        <w:pStyle w:val="FootnoteText"/>
        <w:spacing w:lineRule="auto" w:line="240" w:before="0" w:after="120"/>
        <w:rPr/>
      </w:pPr>
      <w:r>
        <w:rPr>
          <w:rStyle w:val="FootnoteCharacters"/>
        </w:rPr>
        <w:footnoteRef/>
      </w:r>
      <w:r>
        <w:rPr>
          <w:rFonts w:cs="Arial" w:ascii="Arial" w:hAnsi="Arial"/>
          <w:sz w:val="20"/>
        </w:rPr>
        <w:t xml:space="preserve"> </w:t>
      </w:r>
      <w:r>
        <w:rPr>
          <w:rFonts w:cs="Arial" w:ascii="Arial" w:hAnsi="Arial"/>
          <w:i/>
          <w:sz w:val="20"/>
        </w:rPr>
        <w:t>Sithe/Independence Power Partners, L.P. v. FERC</w:t>
      </w:r>
      <w:r>
        <w:rPr>
          <w:rFonts w:cs="Arial" w:ascii="Arial" w:hAnsi="Arial"/>
          <w:sz w:val="20"/>
        </w:rPr>
        <w:t xml:space="preserve">, 165 F.3d 944, 951 (D.C. Cir. 1998) (remanding for further proceedings because “FERC did not discuss the precedent, if any, upon which it relied or chose not to rely; nor did it disclose in any meaningful way the underlying data and assumptions that supported its factual findings.”) </w:t>
      </w:r>
      <w:r>
        <w:rPr>
          <w:rFonts w:cs="Arial" w:ascii="Arial" w:hAnsi="Arial"/>
          <w:i/>
          <w:sz w:val="20"/>
        </w:rPr>
        <w:t xml:space="preserve"> See also</w:t>
      </w:r>
      <w:r>
        <w:rPr>
          <w:rFonts w:cs="Arial" w:ascii="Arial" w:hAnsi="Arial"/>
          <w:sz w:val="20"/>
        </w:rPr>
        <w:t xml:space="preserve"> </w:t>
      </w:r>
      <w:r>
        <w:rPr>
          <w:rStyle w:val="Emphasis"/>
          <w:rFonts w:cs="Arial" w:ascii="Arial" w:hAnsi="Arial"/>
          <w:sz w:val="20"/>
        </w:rPr>
        <w:t>Hatch v. FERC</w:t>
      </w:r>
      <w:r>
        <w:rPr>
          <w:rFonts w:cs="Arial" w:ascii="Arial" w:hAnsi="Arial"/>
          <w:sz w:val="20"/>
        </w:rPr>
        <w:t xml:space="preserve">, 654 F.2d 825, 834 (D.C. Cir. 1981) ("An agency must provide a reasoned explanation for any failure to adhere to its own precedents."). </w:t>
      </w:r>
    </w:p>
  </w:footnote>
  <w:footnote w:id="20">
    <w:p>
      <w:pPr>
        <w:pStyle w:val="FootnoteText"/>
        <w:spacing w:lineRule="auto" w:line="240" w:before="0" w:after="120"/>
        <w:rPr/>
      </w:pPr>
      <w:r>
        <w:rPr>
          <w:rStyle w:val="FootnoteCharacters"/>
        </w:rPr>
        <w:footnoteRef/>
      </w:r>
      <w:r>
        <w:rPr>
          <w:rFonts w:cs="Arial" w:ascii="Arial" w:hAnsi="Arial"/>
          <w:sz w:val="20"/>
        </w:rPr>
        <w:t xml:space="preserve"> </w:t>
      </w:r>
      <w:r>
        <w:rPr>
          <w:rStyle w:val="Emphasis"/>
          <w:rFonts w:cs="Arial" w:ascii="Arial" w:hAnsi="Arial"/>
          <w:sz w:val="20"/>
        </w:rPr>
        <w:t>Northern States Power Co. v. FERC</w:t>
      </w:r>
      <w:r>
        <w:rPr>
          <w:rFonts w:cs="Arial" w:ascii="Arial" w:hAnsi="Arial"/>
          <w:sz w:val="20"/>
        </w:rPr>
        <w:t xml:space="preserve">, 30 F.3d 177, 180 (D.C. Cir. 1994) </w:t>
      </w:r>
      <w:r>
        <w:rPr>
          <w:rFonts w:cs="Arial" w:ascii="Arial" w:hAnsi="Arial"/>
          <w:i/>
          <w:sz w:val="20"/>
        </w:rPr>
        <w:t xml:space="preserve">quoting </w:t>
      </w:r>
      <w:r>
        <w:rPr>
          <w:rStyle w:val="Emphasis"/>
          <w:rFonts w:cs="Arial" w:ascii="Arial" w:hAnsi="Arial"/>
          <w:sz w:val="20"/>
        </w:rPr>
        <w:t>Town of Norwood</w:t>
      </w:r>
      <w:r>
        <w:rPr>
          <w:rFonts w:cs="Arial" w:ascii="Arial" w:hAnsi="Arial"/>
          <w:sz w:val="20"/>
        </w:rPr>
        <w:t xml:space="preserve"> v. FERC, 962 F.2d 20, 22 (D.C. Cir. 1992).  See also </w:t>
      </w:r>
      <w:r>
        <w:rPr>
          <w:rFonts w:cs="Arial" w:ascii="Arial" w:hAnsi="Arial"/>
          <w:i/>
          <w:sz w:val="20"/>
        </w:rPr>
        <w:t>Central Maine Power Co. v. FERC</w:t>
      </w:r>
      <w:r>
        <w:rPr>
          <w:rFonts w:cs="Arial" w:ascii="Arial" w:hAnsi="Arial"/>
          <w:sz w:val="20"/>
        </w:rPr>
        <w:t>, __ F.3d __, 2001 U.S. App. LEXIS 11893, *21-22 (1st Cir. Jun. 8, 2001) (Nos. No. 01-1376, No. 01-1377, No. 01-1541, No. 01-1551) (“Still, FERC is not therefore excused from explaining its actions.  Addressing contrary arguments is part of establishing public acceptability and, in any event, is part of FERC’s own responsibility.”).</w:t>
      </w:r>
    </w:p>
  </w:footnote>
  <w:footnote w:id="21">
    <w:p>
      <w:pPr>
        <w:pStyle w:val="FootnoteText"/>
        <w:spacing w:lineRule="auto" w:line="240" w:before="0" w:after="120"/>
        <w:rPr/>
      </w:pPr>
      <w:r>
        <w:rPr>
          <w:rStyle w:val="FootnoteCharacters"/>
        </w:rPr>
        <w:footnoteRef/>
      </w:r>
      <w:r>
        <w:rPr>
          <w:rFonts w:cs="Arial" w:ascii="Arial" w:hAnsi="Arial"/>
          <w:sz w:val="20"/>
        </w:rPr>
        <w:t xml:space="preserve"> </w:t>
      </w:r>
      <w:r>
        <w:rPr>
          <w:rFonts w:cs="Arial" w:ascii="Arial" w:hAnsi="Arial"/>
          <w:sz w:val="20"/>
        </w:rPr>
        <w:t>Position of Mirant and West Coast Power On Scope of Settlement Judge Recommendations at 4.  Comments of Mirant on Settlement Judge Recommendations, Id at 5.</w:t>
      </w:r>
    </w:p>
  </w:footnote>
  <w:footnote w:id="22">
    <w:p>
      <w:pPr>
        <w:pStyle w:val="FootnoteText"/>
        <w:spacing w:lineRule="exact" w:line="260" w:before="0" w:after="120"/>
        <w:rPr/>
      </w:pPr>
      <w:r>
        <w:rPr>
          <w:rStyle w:val="FootnoteCharacters"/>
        </w:rPr>
        <w:footnoteRef/>
      </w:r>
      <w:r>
        <w:rPr>
          <w:rFonts w:cs="Arial" w:ascii="Arial" w:hAnsi="Arial"/>
          <w:sz w:val="20"/>
        </w:rPr>
        <w:t xml:space="preserve"> </w:t>
      </w:r>
      <w:r>
        <w:rPr>
          <w:rFonts w:cs="Arial" w:ascii="Arial" w:hAnsi="Arial"/>
          <w:sz w:val="20"/>
        </w:rPr>
        <w:t>The ISO provided no workpapers, only limited oral testimony and subject to cross-examination, only questions of “clarification.”</w:t>
      </w:r>
    </w:p>
  </w:footnote>
  <w:footnote w:id="23">
    <w:p>
      <w:pPr>
        <w:pStyle w:val="FootnoteText"/>
        <w:spacing w:lineRule="exact" w:line="260" w:before="0" w:after="120"/>
        <w:rPr/>
      </w:pPr>
      <w:r>
        <w:rPr>
          <w:rStyle w:val="FootnoteCharacters"/>
        </w:rPr>
        <w:footnoteRef/>
      </w:r>
      <w:r>
        <w:rPr>
          <w:rFonts w:cs="Arial" w:ascii="Arial" w:hAnsi="Arial"/>
          <w:sz w:val="20"/>
        </w:rPr>
        <w:t xml:space="preserve"> </w:t>
      </w:r>
      <w:r>
        <w:rPr>
          <w:rFonts w:cs="Arial" w:ascii="Arial" w:hAnsi="Arial"/>
          <w:sz w:val="20"/>
        </w:rPr>
        <w:t>c</w:t>
      </w:r>
      <w:r>
        <w:rPr>
          <w:rFonts w:cs="Arial" w:ascii="Arial" w:hAnsi="Arial"/>
          <w:i/>
          <w:sz w:val="20"/>
        </w:rPr>
        <w:t>iting therein</w:t>
      </w:r>
      <w:r>
        <w:rPr>
          <w:rFonts w:cs="Arial" w:ascii="Arial" w:hAnsi="Arial"/>
          <w:sz w:val="20"/>
        </w:rPr>
        <w:t xml:space="preserve"> </w:t>
      </w:r>
      <w:r>
        <w:rPr>
          <w:rFonts w:cs="Arial" w:ascii="Arial" w:hAnsi="Arial"/>
          <w:i/>
          <w:sz w:val="20"/>
        </w:rPr>
        <w:t xml:space="preserve">Murphy Oil Corp. v. FPC, </w:t>
      </w:r>
      <w:r>
        <w:rPr>
          <w:rFonts w:cs="Arial" w:ascii="Arial" w:hAnsi="Arial"/>
          <w:sz w:val="20"/>
        </w:rPr>
        <w:t>431 F.2d 805, 807 (8</w:t>
      </w:r>
      <w:r>
        <w:rPr>
          <w:rFonts w:cs="Arial" w:ascii="Arial" w:hAnsi="Arial"/>
          <w:sz w:val="20"/>
          <w:vertAlign w:val="superscript"/>
        </w:rPr>
        <w:t>th</w:t>
      </w:r>
      <w:r>
        <w:rPr>
          <w:rFonts w:cs="Arial" w:ascii="Arial" w:hAnsi="Arial"/>
          <w:sz w:val="20"/>
        </w:rPr>
        <w:t xml:space="preserve"> Cir. 1970) (remanding on grounds that letter order directing tax refund to be passed from taxpayer to gas customers was issued in summary fashion, without hearing).</w:t>
      </w:r>
    </w:p>
  </w:footnote>
  <w:footnote w:id="24">
    <w:p>
      <w:pPr>
        <w:pStyle w:val="FootnoteText"/>
        <w:spacing w:lineRule="auto" w:line="240" w:before="0" w:after="120"/>
        <w:rPr/>
      </w:pPr>
      <w:r>
        <w:rPr>
          <w:rStyle w:val="FootnoteCharacters"/>
        </w:rPr>
        <w:footnoteRef/>
      </w:r>
      <w:r>
        <w:rPr>
          <w:rFonts w:cs="Arial" w:ascii="Arial" w:hAnsi="Arial"/>
          <w:sz w:val="20"/>
        </w:rPr>
        <w:t xml:space="preserve"> </w:t>
      </w:r>
      <w:r>
        <w:rPr>
          <w:rFonts w:cs="Arial" w:ascii="Arial" w:hAnsi="Arial"/>
          <w:i/>
          <w:sz w:val="20"/>
        </w:rPr>
        <w:t>NSTAR Service Co. v. New England Power Pool, Inc., et al.</w:t>
      </w:r>
      <w:r>
        <w:rPr>
          <w:rFonts w:cs="Arial" w:ascii="Arial" w:hAnsi="Arial"/>
          <w:sz w:val="20"/>
        </w:rPr>
        <w:t xml:space="preserve">, 92 FERC ¶ 61,065 (2000) (rejecting proposals for market power mitigation during OP4 conditions as they may require retroactive price adjustments after an OP4 condition has occurred and the Commission does “not believe that retroactive price adjustments promote confidence in the ISO’s markets.”).  </w:t>
      </w:r>
      <w:r>
        <w:rPr>
          <w:rFonts w:cs="Arial" w:ascii="Arial" w:hAnsi="Arial"/>
          <w:i/>
          <w:sz w:val="20"/>
        </w:rPr>
        <w:t>New York Independent System Operator, Inc.</w:t>
      </w:r>
      <w:r>
        <w:rPr>
          <w:rFonts w:cs="Arial" w:ascii="Arial" w:hAnsi="Arial"/>
          <w:sz w:val="20"/>
        </w:rPr>
        <w:t xml:space="preserve">, 91 FERC ¶ 61,218 (2000) (denying requests to retroactively adjust market-clearing prices for a past period); </w:t>
      </w:r>
      <w:r>
        <w:rPr>
          <w:rFonts w:cs="Arial" w:ascii="Arial" w:hAnsi="Arial"/>
          <w:i/>
          <w:sz w:val="20"/>
        </w:rPr>
        <w:t>New York Independent System Operator, Inc.</w:t>
      </w:r>
      <w:r>
        <w:rPr>
          <w:rFonts w:cs="Arial" w:ascii="Arial" w:hAnsi="Arial"/>
          <w:sz w:val="20"/>
        </w:rPr>
        <w:t>, 90 FERC ¶ 61,317 (2000) (stating that any proposed market mitigation plan must be prospective only and that the Commission does not intend to allow any retroactive recalculation of market-clearing prices).</w:t>
      </w:r>
    </w:p>
  </w:footnote>
  <w:footnote w:id="25">
    <w:p>
      <w:pPr>
        <w:pStyle w:val="FootnoteText"/>
        <w:spacing w:lineRule="exact" w:line="260" w:before="0" w:after="120"/>
        <w:rPr/>
      </w:pPr>
      <w:r>
        <w:rPr>
          <w:rStyle w:val="FootnoteCharacters"/>
        </w:rPr>
        <w:footnoteRef/>
      </w:r>
      <w:r>
        <w:rPr>
          <w:rFonts w:cs="Arial" w:ascii="Arial" w:hAnsi="Arial"/>
          <w:sz w:val="20"/>
        </w:rPr>
        <w:t xml:space="preserve"> </w:t>
      </w:r>
    </w:p>
  </w:footnote>
  <w:footnote w:id="26">
    <w:p>
      <w:pPr>
        <w:pStyle w:val="FootnoteText"/>
        <w:spacing w:lineRule="exact" w:line="260" w:before="0" w:after="120"/>
        <w:rPr/>
      </w:pPr>
      <w:r>
        <w:rPr>
          <w:rStyle w:val="FootnoteCharacters"/>
        </w:rPr>
        <w:footnoteRef/>
      </w:r>
      <w:r>
        <w:rPr>
          <w:rFonts w:cs="Arial" w:ascii="Arial" w:hAnsi="Arial"/>
          <w:sz w:val="20"/>
        </w:rPr>
        <w:t xml:space="preserve"> </w:t>
      </w:r>
    </w:p>
  </w:footnote>
  <w:footnote w:id="27">
    <w:p>
      <w:pPr>
        <w:pStyle w:val="FootnoteText"/>
        <w:spacing w:lineRule="auto" w:line="240" w:before="0" w:after="120"/>
        <w:rPr/>
      </w:pPr>
      <w:r>
        <w:rPr>
          <w:rStyle w:val="FootnoteCharacters"/>
        </w:rPr>
        <w:footnoteRef/>
      </w:r>
      <w:r>
        <w:rPr>
          <w:rFonts w:cs="Arial" w:ascii="Arial" w:hAnsi="Arial"/>
          <w:sz w:val="20"/>
        </w:rPr>
        <w:t xml:space="preserve"> </w:t>
      </w:r>
      <w:r>
        <w:rPr>
          <w:rFonts w:cs="Arial" w:ascii="Arial" w:hAnsi="Arial"/>
          <w:sz w:val="20"/>
        </w:rPr>
        <w:t xml:space="preserve">The Commission said that once its Staff had identified transactions that warrant further review, the seller will be notified by a data request, Commission order or other form of staff or Commission communication.  If notification is issued, refund liability will continue until the review is terminated by issuance of a final staff letter or Commission order.    </w:t>
      </w:r>
    </w:p>
  </w:footnote>
  <w:footnote w:id="28">
    <w:p>
      <w:pPr>
        <w:pStyle w:val="FootnoteText"/>
        <w:spacing w:lineRule="auto" w:line="240" w:before="0" w:after="120"/>
        <w:rPr/>
      </w:pPr>
      <w:r>
        <w:rPr>
          <w:rStyle w:val="FootnoteCharacters"/>
        </w:rPr>
        <w:footnoteRef/>
      </w:r>
      <w:r>
        <w:rPr>
          <w:rFonts w:cs="Arial" w:ascii="Arial" w:hAnsi="Arial"/>
          <w:sz w:val="20"/>
        </w:rPr>
        <w:t xml:space="preserve"> </w:t>
      </w:r>
      <w:r>
        <w:rPr>
          <w:rFonts w:cs="Arial" w:ascii="Arial" w:hAnsi="Arial"/>
          <w:i/>
          <w:sz w:val="20"/>
        </w:rPr>
        <w:t>Wisconsin Valley Improvement Co. v. FERC</w:t>
      </w:r>
      <w:r>
        <w:rPr>
          <w:rFonts w:cs="Arial" w:ascii="Arial" w:hAnsi="Arial"/>
          <w:sz w:val="20"/>
        </w:rPr>
        <w:t>, 236 F.3d 738 (D.C. Cir. 2001)</w:t>
      </w:r>
      <w:r>
        <w:rPr>
          <w:rStyle w:val="Emphasis"/>
          <w:rFonts w:cs="Arial" w:ascii="Arial" w:hAnsi="Arial"/>
          <w:sz w:val="20"/>
        </w:rPr>
        <w:t xml:space="preserve"> </w:t>
      </w:r>
      <w:r>
        <w:rPr>
          <w:rStyle w:val="Emphasis"/>
          <w:rFonts w:cs="Arial" w:ascii="Arial" w:hAnsi="Arial"/>
          <w:i w:val="false"/>
          <w:sz w:val="20"/>
        </w:rPr>
        <w:t>(“[A]</w:t>
      </w:r>
      <w:r>
        <w:rPr>
          <w:rFonts w:cs="Arial" w:ascii="Arial" w:hAnsi="Arial"/>
          <w:sz w:val="20"/>
        </w:rPr>
        <w:t>n agency acts arbitrarily and capriciously when it abruptly departs from a position it previously held without satisfactorily explaining its reason for doing so.</w:t>
      </w:r>
      <w:r>
        <w:rPr>
          <w:rStyle w:val="Emphasis"/>
          <w:rFonts w:cs="Arial" w:ascii="Arial" w:hAnsi="Arial"/>
          <w:sz w:val="20"/>
        </w:rPr>
        <w:t xml:space="preserve">”); </w:t>
      </w:r>
      <w:r>
        <w:rPr>
          <w:rFonts w:cs="Arial" w:ascii="Arial" w:hAnsi="Arial"/>
          <w:i/>
          <w:sz w:val="20"/>
        </w:rPr>
        <w:t>Panhandle Eastern Pipe Line Co. v. FERC</w:t>
      </w:r>
      <w:r>
        <w:rPr>
          <w:rFonts w:cs="Arial" w:ascii="Arial" w:hAnsi="Arial"/>
          <w:sz w:val="20"/>
        </w:rPr>
        <w:t xml:space="preserve">, 196 F.3d 1273, 1275  (D.C. Cir. 1999) (“As we have repeatedly reminded FERC, if it wishes to depart from its prior policies, it must explain the reasons for its departure.”); </w:t>
      </w:r>
      <w:r>
        <w:rPr>
          <w:rStyle w:val="Emphasis"/>
          <w:rFonts w:cs="Arial" w:ascii="Arial" w:hAnsi="Arial"/>
          <w:sz w:val="20"/>
        </w:rPr>
        <w:t>ANR Pipeline Co. v. FERC</w:t>
      </w:r>
      <w:r>
        <w:rPr>
          <w:rFonts w:cs="Arial" w:ascii="Arial" w:hAnsi="Arial"/>
          <w:sz w:val="20"/>
        </w:rPr>
        <w:t>, 71 F.3d 897, 901 (D.C. Cir. 1995) (“Indeed, where an agency departs from established precedent without a reasoned explanation, its decision will be vacated as arbitrary and capricious.”)</w:t>
      </w:r>
    </w:p>
  </w:footnote>
  <w:footnote w:id="29">
    <w:p>
      <w:pPr>
        <w:pStyle w:val="FootnoteText"/>
        <w:spacing w:lineRule="exact" w:line="260" w:before="0" w:after="120"/>
        <w:rPr/>
      </w:pPr>
      <w:r>
        <w:rPr>
          <w:rStyle w:val="FootnoteCharacters"/>
        </w:rPr>
        <w:footnoteRef/>
      </w:r>
      <w:r>
        <w:rPr>
          <w:rFonts w:cs="Arial" w:ascii="Arial" w:hAnsi="Arial"/>
          <w:sz w:val="20"/>
        </w:rPr>
        <w:t xml:space="preserve"> </w:t>
      </w:r>
      <w:r>
        <w:rPr>
          <w:rFonts w:cs="Arial" w:ascii="Arial" w:hAnsi="Arial"/>
          <w:sz w:val="20"/>
        </w:rPr>
        <w:t>Emphasis added.</w:t>
      </w:r>
    </w:p>
  </w:footnote>
  <w:footnote w:id="30">
    <w:p>
      <w:pPr>
        <w:pStyle w:val="FootnoteText"/>
        <w:spacing w:lineRule="exact" w:line="260" w:before="0" w:after="120"/>
        <w:rPr/>
      </w:pPr>
      <w:r>
        <w:rPr>
          <w:rStyle w:val="FootnoteCharacters"/>
        </w:rPr>
        <w:footnoteRef/>
      </w:r>
      <w:r>
        <w:rPr>
          <w:rFonts w:cs="Arial" w:ascii="Arial" w:hAnsi="Arial"/>
          <w:sz w:val="20"/>
        </w:rPr>
        <w:t xml:space="preserve"> </w:t>
      </w:r>
      <w:r>
        <w:rPr>
          <w:rFonts w:cs="Arial" w:ascii="Arial" w:hAnsi="Arial"/>
          <w:sz w:val="20"/>
        </w:rPr>
        <w:t>Cite previous comments.</w:t>
      </w:r>
    </w:p>
  </w:footnote>
  <w:footnote w:id="31">
    <w:p>
      <w:pPr>
        <w:pStyle w:val="FootnoteText"/>
        <w:spacing w:lineRule="auto" w:line="240" w:before="0" w:after="120"/>
        <w:rPr/>
      </w:pPr>
      <w:r>
        <w:rPr>
          <w:rStyle w:val="FootnoteCharacters"/>
        </w:rPr>
        <w:footnoteRef/>
      </w:r>
      <w:r>
        <w:rPr>
          <w:rFonts w:cs="Arial" w:ascii="Arial" w:hAnsi="Arial"/>
          <w:sz w:val="20"/>
        </w:rPr>
        <w:t xml:space="preserve"> </w:t>
      </w:r>
      <w:r>
        <w:rPr>
          <w:rFonts w:cs="Arial" w:ascii="Arial" w:hAnsi="Arial"/>
          <w:sz w:val="20"/>
        </w:rPr>
        <w:t>Comments of the Transaction Finality Group On Staff’s Draft Template For Reporting Transactions, filed August 7, 2001.</w:t>
      </w:r>
    </w:p>
  </w:footnote>
  <w:footnote w:id="32">
    <w:p>
      <w:pPr>
        <w:pStyle w:val="FootnoteText"/>
        <w:spacing w:lineRule="auto" w:line="240" w:before="0" w:after="120"/>
        <w:rPr/>
      </w:pPr>
      <w:r>
        <w:rPr>
          <w:rStyle w:val="FootnoteCharacters"/>
        </w:rPr>
        <w:footnoteRef/>
      </w:r>
      <w:r>
        <w:rPr>
          <w:rFonts w:cs="Arial" w:ascii="Arial" w:hAnsi="Arial"/>
          <w:sz w:val="20"/>
        </w:rPr>
        <w:t xml:space="preserve"> </w:t>
      </w:r>
      <w:r>
        <w:rPr>
          <w:rFonts w:cs="Arial" w:ascii="Arial" w:hAnsi="Arial"/>
          <w:sz w:val="20"/>
        </w:rPr>
        <w:t>See Request for Rehearing of the City of Seattle, filed January 16, 2001 in Docket No. EL00-95 at 5 (price caps should be applied throughout the Western Interconnection).</w:t>
      </w:r>
    </w:p>
  </w:footnote>
  <w:footnote w:id="33">
    <w:p>
      <w:pPr>
        <w:pStyle w:val="FootnoteText"/>
        <w:spacing w:lineRule="auto" w:line="240" w:before="0" w:after="120"/>
        <w:rPr/>
      </w:pPr>
      <w:r>
        <w:rPr>
          <w:rStyle w:val="FootnoteCharacters"/>
        </w:rPr>
        <w:footnoteRef/>
      </w:r>
      <w:r>
        <w:rPr>
          <w:rFonts w:cs="Arial" w:ascii="Arial" w:hAnsi="Arial"/>
          <w:sz w:val="20"/>
        </w:rPr>
        <w:t xml:space="preserve"> </w:t>
      </w:r>
      <w:r>
        <w:rPr>
          <w:rFonts w:cs="Arial" w:ascii="Arial" w:hAnsi="Arial"/>
          <w:sz w:val="20"/>
        </w:rPr>
        <w:t>That is the exactly what the Commission did when it initiated its investigation into sales throughout the WSCC and established a refund effective date of July 2, 2001.  [check date]</w:t>
      </w:r>
    </w:p>
  </w:footnote>
  <w:footnote w:id="34">
    <w:p>
      <w:pPr>
        <w:pStyle w:val="FootnoteText"/>
        <w:spacing w:lineRule="auto" w:line="240" w:before="0" w:after="120"/>
        <w:rPr/>
      </w:pPr>
      <w:r>
        <w:rPr>
          <w:rStyle w:val="FootnoteCharacters"/>
        </w:rPr>
        <w:footnoteRef/>
      </w:r>
      <w:r>
        <w:rPr>
          <w:rFonts w:cs="Arial" w:ascii="Arial" w:hAnsi="Arial"/>
          <w:sz w:val="20"/>
        </w:rPr>
        <w:t xml:space="preserve"> </w:t>
      </w:r>
      <w:r>
        <w:rPr>
          <w:rFonts w:cs="Arial" w:ascii="Arial" w:hAnsi="Arial"/>
          <w:sz w:val="20"/>
        </w:rPr>
        <w:t xml:space="preserve">Indeed, the only subsequent Commission action--the Commission’s adoption of west-wide mitigation on a going forward basis, the relief sought in the original Puget Sound complaint and by those now seeking refunds, and the subsequent withdrawal of the Puget Sound complaint--strongly suggested the contrary, </w:t>
      </w:r>
      <w:r>
        <w:rPr>
          <w:rFonts w:cs="Arial" w:ascii="Arial" w:hAnsi="Arial"/>
          <w:i/>
          <w:sz w:val="20"/>
        </w:rPr>
        <w:t xml:space="preserve">i.e., </w:t>
      </w:r>
      <w:r>
        <w:rPr>
          <w:rFonts w:cs="Arial" w:ascii="Arial" w:hAnsi="Arial"/>
          <w:sz w:val="20"/>
        </w:rPr>
        <w:t xml:space="preserve">the Commission contemplated no action from December 25, 2000 forward. </w:t>
      </w:r>
    </w:p>
  </w:footnote>
  <w:footnote w:id="35">
    <w:p>
      <w:pPr>
        <w:pStyle w:val="FootnoteText"/>
        <w:spacing w:lineRule="auto" w:line="240" w:before="0" w:after="120"/>
        <w:rPr/>
      </w:pPr>
      <w:r>
        <w:rPr>
          <w:rStyle w:val="FootnoteCharacters"/>
        </w:rPr>
        <w:footnoteRef/>
      </w:r>
      <w:r>
        <w:rPr>
          <w:rFonts w:cs="Arial" w:ascii="Arial" w:hAnsi="Arial"/>
          <w:sz w:val="20"/>
        </w:rPr>
        <w:t xml:space="preserve"> </w:t>
      </w:r>
      <w:r>
        <w:rPr>
          <w:rFonts w:cs="Arial" w:ascii="Arial" w:hAnsi="Arial"/>
          <w:sz w:val="20"/>
        </w:rPr>
        <w:t>The Commission requested receipt of the data set forth within 15 days of the Order with the presiding judge completing “discussions” within 30 days following the submission of this data.  The Commission ordered the judge to make a recommendation and certify the record and findings of fact to the Commission within 7 days after the close of the discussions.</w:t>
      </w:r>
    </w:p>
  </w:footnote>
  <w:footnote w:id="36">
    <w:p>
      <w:pPr>
        <w:pStyle w:val="FootnoteText"/>
        <w:spacing w:lineRule="auto" w:line="240" w:before="0" w:after="120"/>
        <w:rPr/>
      </w:pPr>
      <w:r>
        <w:rPr>
          <w:rStyle w:val="FootnoteCharacters"/>
        </w:rPr>
        <w:footnoteRef/>
      </w:r>
      <w:r>
        <w:rPr>
          <w:rFonts w:cs="Arial" w:ascii="Arial" w:hAnsi="Arial"/>
          <w:sz w:val="20"/>
        </w:rPr>
        <w:t xml:space="preserve"> </w:t>
      </w:r>
      <w:r>
        <w:rPr>
          <w:rFonts w:cs="Arial" w:ascii="Arial" w:hAnsi="Arial"/>
          <w:sz w:val="20"/>
        </w:rPr>
        <w:t>Comments of El Paso Merchant, L.P. Concerning Preliminary Outline of Settlement Judge’s Recommendation Under Commission’s June 19, 2001 Order, filed July 12, 2001,at page 4.</w:t>
      </w:r>
    </w:p>
  </w:footnote>
  <w:footnote w:id="37">
    <w:p>
      <w:pPr>
        <w:pStyle w:val="FootnoteText"/>
        <w:spacing w:lineRule="exact" w:line="260" w:before="0" w:after="120"/>
        <w:rPr/>
      </w:pPr>
      <w:r>
        <w:rPr>
          <w:rStyle w:val="FootnoteCharacters"/>
        </w:rPr>
        <w:footnoteRef/>
      </w:r>
      <w:r>
        <w:rPr>
          <w:rFonts w:cs="Arial" w:ascii="Arial" w:hAnsi="Arial"/>
          <w:sz w:val="20"/>
        </w:rPr>
        <w:t xml:space="preserve"> </w:t>
      </w:r>
      <w:r>
        <w:rPr>
          <w:rFonts w:cs="Arial" w:ascii="Arial" w:hAnsi="Arial"/>
          <w:i/>
          <w:sz w:val="20"/>
        </w:rPr>
        <w:t>Canadian Association of Petroleum Producers v. Federal Energy Regulatory Commission</w:t>
      </w:r>
      <w:r>
        <w:rPr>
          <w:rFonts w:cs="Arial" w:ascii="Arial" w:hAnsi="Arial"/>
          <w:sz w:val="20"/>
        </w:rPr>
        <w:t xml:space="preserve">, 2001 U.S. Appeals LEXIS 15626  (July 13, 2001) (citing therein </w:t>
      </w:r>
      <w:r>
        <w:rPr>
          <w:rFonts w:cs="Arial" w:ascii="Arial" w:hAnsi="Arial"/>
          <w:i/>
          <w:sz w:val="20"/>
        </w:rPr>
        <w:t>Tesoro Alaska Petroleum Co. v. FERC</w:t>
      </w:r>
      <w:r>
        <w:rPr>
          <w:rFonts w:cs="Arial" w:ascii="Arial" w:hAnsi="Arial"/>
          <w:sz w:val="20"/>
        </w:rPr>
        <w:t>, 234 F.3d 1286 (D.C. Cir. 2000)).</w:t>
      </w:r>
    </w:p>
  </w:footnote>
</w:footnote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end"/>
      <w:rPr>
        <w:b/>
        <w:sz w:val="32"/>
      </w:rPr>
    </w:pPr>
    <w:r>
      <w:rPr>
        <w:b/>
        <w:sz w:val="32"/>
      </w:rPr>
      <w:t>DRAFT – AUGUST 14, 2001</w: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upperRoman"/>
      <w:lvlText w:val="%1."/>
      <w:lvlJc w:val="start"/>
      <w:pPr>
        <w:tabs>
          <w:tab w:val="num" w:pos="1080"/>
        </w:tabs>
        <w:ind w:start="1080" w:hanging="1080"/>
      </w:pPr>
      <w:rPr>
        <w:u w:val="none"/>
      </w:rPr>
    </w:lvl>
    <w:lvl w:ilvl="1">
      <w:start w:val="1"/>
      <w:pStyle w:val="Heading2"/>
      <w:numFmt w:val="upperLetter"/>
      <w:lvlText w:val="%2."/>
      <w:lvlJc w:val="end"/>
      <w:pPr>
        <w:tabs>
          <w:tab w:val="num" w:pos="1800"/>
        </w:tabs>
        <w:ind w:start="1800" w:hanging="432"/>
      </w:pPr>
      <w:rPr>
        <w:i w:val="false"/>
        <w:u w:val="none"/>
        <w:b/>
      </w:rPr>
    </w:lvl>
    <w:lvl w:ilvl="2">
      <w:start w:val="1"/>
      <w:pStyle w:val="Heading3"/>
      <w:numFmt w:val="decimal"/>
      <w:lvlText w:val="%3."/>
      <w:lvlJc w:val="end"/>
      <w:pPr>
        <w:tabs>
          <w:tab w:val="num" w:pos="2520"/>
        </w:tabs>
        <w:ind w:start="2520" w:hanging="504"/>
      </w:pPr>
      <w:rPr>
        <w:u w:val="none"/>
      </w:rPr>
    </w:lvl>
    <w:lvl w:ilvl="3">
      <w:start w:val="1"/>
      <w:pStyle w:val="Heading4"/>
      <w:numFmt w:val="lowerLetter"/>
      <w:lvlText w:val="%4."/>
      <w:lvlJc w:val="end"/>
      <w:pPr>
        <w:tabs>
          <w:tab w:val="num" w:pos="3240"/>
        </w:tabs>
        <w:ind w:start="3240" w:hanging="504"/>
      </w:pPr>
      <w:rPr>
        <w:u w:val="none"/>
      </w:rPr>
    </w:lvl>
    <w:lvl w:ilvl="4">
      <w:start w:val="1"/>
      <w:pStyle w:val="Heading5"/>
      <w:numFmt w:val="lowerRoman"/>
      <w:lvlText w:val="%5."/>
      <w:lvlJc w:val="end"/>
      <w:pPr>
        <w:tabs>
          <w:tab w:val="num" w:pos="3960"/>
        </w:tabs>
        <w:ind w:start="3960" w:hanging="576"/>
      </w:pPr>
      <w:rPr>
        <w:u w:val="none"/>
      </w:rPr>
    </w:lvl>
    <w:lvl w:ilvl="5">
      <w:start w:val="1"/>
      <w:pStyle w:val="Heading6"/>
      <w:numFmt w:val="decimal"/>
      <w:suff w:val="nothing"/>
      <w:lvlText w:val="%6.  "/>
      <w:lvlJc w:val="start"/>
      <w:pPr>
        <w:tabs>
          <w:tab w:val="num" w:pos="0"/>
        </w:tabs>
        <w:ind w:start="0" w:firstLine="1080"/>
      </w:pPr>
      <w:rPr>
        <w:u w:val="none"/>
      </w:rPr>
    </w:lvl>
    <w:lvl w:ilvl="6">
      <w:start w:val="1"/>
      <w:pStyle w:val="Heading7"/>
      <w:numFmt w:val="decimal"/>
      <w:suff w:val="nothing"/>
      <w:lvlText w:val="%7.  "/>
      <w:lvlJc w:val="start"/>
      <w:pPr>
        <w:tabs>
          <w:tab w:val="num" w:pos="0"/>
        </w:tabs>
        <w:ind w:start="0" w:firstLine="1080"/>
      </w:pPr>
      <w:rPr>
        <w:u w:val="none"/>
      </w:rPr>
    </w:lvl>
    <w:lvl w:ilvl="7">
      <w:start w:val="1"/>
      <w:pStyle w:val="Heading8"/>
      <w:numFmt w:val="lowerLetter"/>
      <w:suff w:val="nothing"/>
      <w:lvlText w:val="%8.  "/>
      <w:lvlJc w:val="start"/>
      <w:pPr>
        <w:tabs>
          <w:tab w:val="num" w:pos="0"/>
        </w:tabs>
        <w:ind w:start="0" w:firstLine="1800"/>
      </w:pPr>
      <w:rPr>
        <w:u w:val="none"/>
      </w:rPr>
    </w:lvl>
    <w:lvl w:ilvl="8">
      <w:start w:val="1"/>
      <w:pStyle w:val="Heading9"/>
      <w:numFmt w:val="lowerLetter"/>
      <w:suff w:val="nothing"/>
      <w:lvlText w:val="%9.  "/>
      <w:lvlJc w:val="start"/>
      <w:pPr>
        <w:tabs>
          <w:tab w:val="num" w:pos="0"/>
        </w:tabs>
        <w:ind w:start="0" w:firstLine="1800"/>
      </w:pPr>
      <w:rPr>
        <w:u w:val="none"/>
      </w:rPr>
    </w:lvl>
  </w:abstractNum>
  <w:num w:numId="1">
    <w:abstractNumId w:val="1"/>
  </w:num>
</w:numbering>
</file>

<file path=word/settings.xml><?xml version="1.0" encoding="utf-8"?>
<w:settings xmlns:w="http://schemas.openxmlformats.org/wordprocessingml/2006/main">
  <w:zoom w:percent="100"/>
  <w:defaultTabStop w:val="720"/>
  <w:autoHyphenation w:val="true"/>
  <w:hyphenationZone w:val="0"/>
  <w:footnotePr>
    <w:numFmt w:val="decimal"/>
    <w:footnote w:id="0"/>
    <w:footnote w:id="1"/>
  </w:footnotePr>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Arial" w:hAnsi="Arial" w:eastAsia="Times New Roman" w:cs="Arial"/>
      <w:color w:val="auto"/>
      <w:sz w:val="24"/>
      <w:szCs w:val="20"/>
      <w:lang w:val="en-US" w:bidi="ar-SA" w:eastAsia="zh-CN"/>
    </w:rPr>
  </w:style>
  <w:style w:type="paragraph" w:styleId="Heading1">
    <w:name w:val="heading 1"/>
    <w:basedOn w:val="Normal"/>
    <w:next w:val="BodyText"/>
    <w:qFormat/>
    <w:pPr>
      <w:numPr>
        <w:ilvl w:val="0"/>
        <w:numId w:val="1"/>
      </w:numPr>
      <w:spacing w:lineRule="exact" w:line="260" w:before="260" w:after="0"/>
      <w:outlineLvl w:val="0"/>
    </w:pPr>
    <w:rPr>
      <w:rFonts w:ascii="Galliard;Times New Roman" w:hAnsi="Galliard;Times New Roman" w:cs="Galliard;Times New Roman"/>
      <w:b/>
      <w:caps/>
      <w:kern w:val="2"/>
    </w:rPr>
  </w:style>
  <w:style w:type="paragraph" w:styleId="Heading2">
    <w:name w:val="heading 2"/>
    <w:basedOn w:val="Normal"/>
    <w:next w:val="BodyText"/>
    <w:qFormat/>
    <w:pPr>
      <w:numPr>
        <w:ilvl w:val="1"/>
        <w:numId w:val="1"/>
      </w:numPr>
      <w:spacing w:lineRule="exact" w:line="260" w:before="260" w:after="0"/>
      <w:outlineLvl w:val="1"/>
    </w:pPr>
    <w:rPr>
      <w:rFonts w:ascii="Galliard;Times New Roman" w:hAnsi="Galliard;Times New Roman" w:cs="Galliard;Times New Roman"/>
      <w:b/>
    </w:rPr>
  </w:style>
  <w:style w:type="paragraph" w:styleId="Heading3">
    <w:name w:val="heading 3"/>
    <w:basedOn w:val="Normal"/>
    <w:next w:val="BodyText"/>
    <w:qFormat/>
    <w:pPr>
      <w:numPr>
        <w:ilvl w:val="2"/>
        <w:numId w:val="1"/>
      </w:numPr>
      <w:spacing w:lineRule="exact" w:line="260" w:before="260" w:after="0"/>
      <w:outlineLvl w:val="2"/>
    </w:pPr>
    <w:rPr>
      <w:rFonts w:ascii="Galliard;Times New Roman" w:hAnsi="Galliard;Times New Roman" w:cs="Galliard;Times New Roman"/>
    </w:rPr>
  </w:style>
  <w:style w:type="paragraph" w:styleId="Heading4">
    <w:name w:val="heading 4"/>
    <w:basedOn w:val="Normal"/>
    <w:next w:val="BodyText"/>
    <w:qFormat/>
    <w:pPr>
      <w:numPr>
        <w:ilvl w:val="3"/>
        <w:numId w:val="1"/>
      </w:numPr>
      <w:spacing w:lineRule="exact" w:line="260" w:before="260" w:after="0"/>
      <w:outlineLvl w:val="3"/>
    </w:pPr>
    <w:rPr>
      <w:rFonts w:ascii="Galliard;Times New Roman" w:hAnsi="Galliard;Times New Roman" w:cs="Galliard;Times New Roman"/>
    </w:rPr>
  </w:style>
  <w:style w:type="paragraph" w:styleId="Heading5">
    <w:name w:val="heading 5"/>
    <w:basedOn w:val="Normal"/>
    <w:next w:val="BodyText"/>
    <w:qFormat/>
    <w:pPr>
      <w:numPr>
        <w:ilvl w:val="4"/>
        <w:numId w:val="1"/>
      </w:numPr>
      <w:spacing w:lineRule="exact" w:line="260" w:before="260" w:after="0"/>
      <w:outlineLvl w:val="4"/>
    </w:pPr>
    <w:rPr>
      <w:rFonts w:ascii="Galliard;Times New Roman" w:hAnsi="Galliard;Times New Roman" w:cs="Galliard;Times New Roman"/>
    </w:rPr>
  </w:style>
  <w:style w:type="paragraph" w:styleId="Heading6">
    <w:name w:val="heading 6"/>
    <w:basedOn w:val="Normal"/>
    <w:next w:val="BodyText"/>
    <w:qFormat/>
    <w:pPr>
      <w:numPr>
        <w:ilvl w:val="5"/>
        <w:numId w:val="1"/>
      </w:numPr>
      <w:spacing w:lineRule="exact" w:line="260" w:before="260" w:after="0"/>
      <w:outlineLvl w:val="5"/>
    </w:pPr>
    <w:rPr>
      <w:rFonts w:ascii="Galliard;Times New Roman" w:hAnsi="Galliard;Times New Roman" w:cs="Galliard;Times New Roman"/>
    </w:rPr>
  </w:style>
  <w:style w:type="paragraph" w:styleId="Heading7">
    <w:name w:val="heading 7"/>
    <w:basedOn w:val="Normal"/>
    <w:next w:val="BodyText"/>
    <w:qFormat/>
    <w:pPr>
      <w:numPr>
        <w:ilvl w:val="6"/>
        <w:numId w:val="1"/>
      </w:numPr>
      <w:spacing w:lineRule="exact" w:line="520"/>
      <w:outlineLvl w:val="6"/>
    </w:pPr>
    <w:rPr>
      <w:rFonts w:ascii="Galliard;Times New Roman" w:hAnsi="Galliard;Times New Roman" w:cs="Galliard;Times New Roman"/>
    </w:rPr>
  </w:style>
  <w:style w:type="paragraph" w:styleId="Heading8">
    <w:name w:val="heading 8"/>
    <w:basedOn w:val="Normal"/>
    <w:next w:val="BodyText"/>
    <w:qFormat/>
    <w:pPr>
      <w:numPr>
        <w:ilvl w:val="7"/>
        <w:numId w:val="1"/>
      </w:numPr>
      <w:spacing w:lineRule="exact" w:line="260" w:before="260" w:after="0"/>
      <w:outlineLvl w:val="7"/>
    </w:pPr>
    <w:rPr>
      <w:rFonts w:ascii="Galliard;Times New Roman" w:hAnsi="Galliard;Times New Roman" w:cs="Galliard;Times New Roman"/>
    </w:rPr>
  </w:style>
  <w:style w:type="paragraph" w:styleId="Heading9">
    <w:name w:val="heading 9"/>
    <w:basedOn w:val="Normal"/>
    <w:next w:val="BodyText"/>
    <w:qFormat/>
    <w:pPr>
      <w:numPr>
        <w:ilvl w:val="8"/>
        <w:numId w:val="1"/>
      </w:numPr>
      <w:spacing w:lineRule="exact" w:line="520"/>
      <w:outlineLvl w:val="8"/>
    </w:pPr>
    <w:rPr>
      <w:rFonts w:ascii="Galliard;Times New Roman" w:hAnsi="Galliard;Times New Roman" w:cs="Galliard;Times New Roman"/>
    </w:rPr>
  </w:style>
  <w:style w:type="character" w:styleId="WW8Num1z0">
    <w:name w:val="WW8Num1z0"/>
    <w:qFormat/>
    <w:rPr>
      <w:u w:val="none"/>
    </w:rPr>
  </w:style>
  <w:style w:type="character" w:styleId="WW8Num1z1">
    <w:name w:val="WW8Num1z1"/>
    <w:qFormat/>
    <w:rPr>
      <w:b/>
      <w:i w:val="false"/>
      <w:u w:val="none"/>
    </w:rPr>
  </w:style>
  <w:style w:type="character" w:styleId="DefaultParagraphFont">
    <w:name w:val="Default Paragraph Font"/>
    <w:qFormat/>
    <w:rPr/>
  </w:style>
  <w:style w:type="character" w:styleId="Emphasis">
    <w:name w:val="Emphasis"/>
    <w:basedOn w:val="DefaultParagraphFont"/>
    <w:qFormat/>
    <w:rPr>
      <w:i/>
    </w:rPr>
  </w:style>
  <w:style w:type="character" w:styleId="FootnoteCharacters">
    <w:name w:val="Footnote Characters"/>
    <w:basedOn w:val="DefaultParagraphFont"/>
    <w:qFormat/>
    <w:rPr>
      <w:vertAlign w:val="superscript"/>
    </w:rPr>
  </w:style>
  <w:style w:type="character" w:styleId="PageNumber">
    <w:name w:val="page number"/>
    <w:basedOn w:val="DefaultParagraphFont"/>
    <w:rPr/>
  </w:style>
  <w:style w:type="character" w:styleId="FootnoteReference">
    <w:name w:val="footnote reference"/>
    <w:rPr>
      <w:vertAlign w:val="superscript"/>
    </w:rPr>
  </w:style>
  <w:style w:type="character" w:styleId="EndnoteReference">
    <w:name w:val="endnote reference"/>
    <w:rPr>
      <w:vertAlign w:val="superscript"/>
    </w:rPr>
  </w:style>
  <w:style w:type="character" w:styleId="EndnoteCharacters">
    <w:name w:val="Endnote Characters"/>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odytext-indent">
    <w:name w:val="body text - indent"/>
    <w:basedOn w:val="Normal"/>
    <w:qFormat/>
    <w:pPr>
      <w:spacing w:lineRule="atLeast" w:line="480"/>
      <w:ind w:firstLine="1440" w:start="0" w:end="0"/>
    </w:pPr>
    <w:rPr>
      <w:rFonts w:ascii="Times New Roman" w:hAnsi="Times New Roman" w:cs="Times New Roman"/>
    </w:rPr>
  </w:style>
  <w:style w:type="paragraph" w:styleId="BlockQuote">
    <w:name w:val="Block Quote"/>
    <w:basedOn w:val="Normal"/>
    <w:qFormat/>
    <w:pPr>
      <w:spacing w:before="120" w:after="120"/>
      <w:ind w:hanging="0" w:start="1080" w:end="1080"/>
    </w:pPr>
    <w:rPr>
      <w:rFonts w:ascii="Galliard;Times New Roman" w:hAnsi="Galliard;Times New Roman" w:cs="Galliard;Times New Roman"/>
    </w:rPr>
  </w:style>
  <w:style w:type="paragraph" w:styleId="BodyTextStyle">
    <w:name w:val="Body Text Style"/>
    <w:basedOn w:val="Normal"/>
    <w:qFormat/>
    <w:pPr>
      <w:spacing w:lineRule="exact" w:line="520"/>
      <w:ind w:firstLine="1080" w:start="0" w:end="0"/>
    </w:pPr>
    <w:rPr>
      <w:rFonts w:ascii="Galliard;Times New Roman" w:hAnsi="Galliard;Times New Roman" w:cs="Galliard;Times New Roman"/>
    </w:rPr>
  </w:style>
  <w:style w:type="paragraph" w:styleId="FootnoteText">
    <w:name w:val="footnote text"/>
    <w:basedOn w:val="Normal"/>
    <w:pPr>
      <w:spacing w:lineRule="exact" w:line="260" w:before="0" w:after="120"/>
    </w:pPr>
    <w:rPr>
      <w:rFonts w:ascii="Galliard;Times New Roman" w:hAnsi="Galliard;Times New Roman" w:cs="Galliard;Times New Roman"/>
    </w:rPr>
  </w:style>
  <w:style w:type="paragraph" w:styleId="SignatureBlock">
    <w:name w:val="Signature Block"/>
    <w:basedOn w:val="Normal"/>
    <w:qFormat/>
    <w:pPr>
      <w:spacing w:lineRule="exact" w:line="260"/>
      <w:ind w:hanging="0" w:start="4680" w:end="0"/>
    </w:pPr>
    <w:rPr>
      <w:rFonts w:ascii="Galliard;Times New Roman" w:hAnsi="Galliard;Times New Roman" w:cs="Galliard;Times New Roman"/>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tyle>
  <w:style w:type="paragraph" w:styleId="Header">
    <w:name w:val="header"/>
    <w:basedOn w:val="Normal"/>
    <w:pPr>
      <w:tabs>
        <w:tab w:val="clear" w:pos="720"/>
        <w:tab w:val="center" w:pos="4320" w:leader="none"/>
        <w:tab w:val="right" w:pos="8640" w:leader="none"/>
      </w:tabs>
    </w:pPr>
    <w:rPr/>
  </w:style>
  <w:style w:type="paragraph" w:styleId="FrameContents">
    <w:name w:val="Frame Contents"/>
    <w:basedOn w:val="Normal"/>
    <w:qFormat/>
    <w:pPr/>
    <w:rPr/>
  </w:style>
  <w:style w:type="numbering" w:styleId="WW8Num1">
    <w:name w:val="WW8Num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footnotes" Target="footnotes.xml"/><Relationship Id="rId5" Type="http://schemas.openxmlformats.org/officeDocument/2006/relationships/numbering" Target="numbering.xml"/><Relationship Id="rId6" Type="http://schemas.openxmlformats.org/officeDocument/2006/relationships/fontTable" Target="fontTable.xml"/><Relationship Id="rId7" Type="http://schemas.openxmlformats.org/officeDocument/2006/relationships/settings" Target="settings.xml"/><Relationship Id="rId8"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81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2001-08-14T12:48:00Z</dcterms:created>
  <dc:creator>julie simon</dc:creator>
  <dc:description/>
  <dc:language>en-CA</dc:language>
  <cp:lastModifiedBy>User</cp:lastModifiedBy>
  <cp:lastPrinted>2001-08-14T12:23:00Z</cp:lastPrinted>
  <dcterms:modified xsi:type="dcterms:W3CDTF">2001-08-14T17:18:00Z</dcterms:modified>
  <cp:revision>5</cp:revision>
  <dc:subject/>
  <dc:title>UNITED STATES OF AMERICA</dc:title>
</cp:coreProperties>
</file>