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ISDA STRATEGIC DOCUMENTATION REVIEW PROJECT</w:t>
      </w:r>
    </w:p>
    <w:p>
      <w:pPr>
        <w:pStyle w:val="Normal"/>
        <w:rPr>
          <w:b/>
          <w:sz w:val="24"/>
        </w:rPr>
      </w:pPr>
      <w:r>
        <w:rPr>
          <w:b/>
          <w:sz w:val="24"/>
        </w:rPr>
      </w:r>
    </w:p>
    <w:p>
      <w:pPr>
        <w:pStyle w:val="Normal"/>
        <w:rPr/>
      </w:pPr>
      <w:r>
        <w:rPr>
          <w:b/>
          <w:caps/>
          <w:sz w:val="24"/>
        </w:rPr>
        <w:t>Master Agreement structural</w:t>
      </w:r>
      <w:r>
        <w:rPr>
          <w:b/>
          <w:sz w:val="24"/>
        </w:rPr>
        <w:t xml:space="preserve"> ISSUES</w:t>
      </w:r>
    </w:p>
    <w:p>
      <w:pPr>
        <w:pStyle w:val="Normal"/>
        <w:rPr>
          <w:b/>
          <w:sz w:val="24"/>
        </w:rPr>
      </w:pPr>
      <w:r>
        <w:rPr>
          <w:b/>
          <w:sz w:val="24"/>
        </w:rPr>
      </w:r>
    </w:p>
    <w:p>
      <w:pPr>
        <w:pStyle w:val="Normal"/>
        <w:rPr>
          <w:b/>
          <w:sz w:val="24"/>
        </w:rPr>
      </w:pPr>
      <w:r>
        <w:rPr>
          <w:b/>
          <w:sz w:val="24"/>
        </w:rPr>
        <w:t>Minutes of the Meeting of the Master Agreement Working Group held at 9:30 A.M. EDT, July 20, 1999</w:t>
      </w:r>
    </w:p>
    <w:p>
      <w:pPr>
        <w:pStyle w:val="Normal"/>
        <w:rPr>
          <w:b/>
          <w:sz w:val="24"/>
        </w:rPr>
      </w:pPr>
      <w:r>
        <w:rPr>
          <w:b/>
          <w:sz w:val="24"/>
        </w:rPr>
      </w:r>
    </w:p>
    <w:p>
      <w:pPr>
        <w:pStyle w:val="Normal"/>
        <w:rPr>
          <w:b/>
          <w:sz w:val="24"/>
        </w:rPr>
      </w:pPr>
      <w:r>
        <w:rPr>
          <w:b/>
          <w:sz w:val="24"/>
        </w:rPr>
        <w:t>Present:</w:t>
      </w:r>
    </w:p>
    <w:p>
      <w:pPr>
        <w:pStyle w:val="Normal"/>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3348"/>
        <w:gridCol w:w="5508"/>
      </w:tblGrid>
      <w:tr>
        <w:trPr/>
        <w:tc>
          <w:tcPr>
            <w:tcW w:w="3348" w:type="dxa"/>
            <w:tcBorders/>
          </w:tcPr>
          <w:p>
            <w:pPr>
              <w:pStyle w:val="Heading2"/>
              <w:ind w:hanging="0" w:start="0"/>
              <w:rPr/>
            </w:pPr>
            <w:r>
              <w:rPr/>
              <w:t>Gabriel Benincasa</w:t>
            </w:r>
          </w:p>
        </w:tc>
        <w:tc>
          <w:tcPr>
            <w:tcW w:w="5508" w:type="dxa"/>
            <w:tcBorders/>
          </w:tcPr>
          <w:p>
            <w:pPr>
              <w:pStyle w:val="Normal"/>
              <w:rPr>
                <w:sz w:val="24"/>
              </w:rPr>
            </w:pPr>
            <w:r>
              <w:rPr>
                <w:sz w:val="24"/>
              </w:rPr>
              <w:t>Morgan Stanley Dean Witter</w:t>
            </w:r>
          </w:p>
        </w:tc>
      </w:tr>
      <w:tr>
        <w:trPr/>
        <w:tc>
          <w:tcPr>
            <w:tcW w:w="3348" w:type="dxa"/>
            <w:tcBorders/>
          </w:tcPr>
          <w:p>
            <w:pPr>
              <w:pStyle w:val="Normal"/>
              <w:rPr>
                <w:sz w:val="24"/>
              </w:rPr>
            </w:pPr>
            <w:r>
              <w:rPr>
                <w:sz w:val="24"/>
              </w:rPr>
              <w:t>Francesco Caputo Nassetti</w:t>
            </w:r>
          </w:p>
        </w:tc>
        <w:tc>
          <w:tcPr>
            <w:tcW w:w="5508" w:type="dxa"/>
            <w:tcBorders/>
          </w:tcPr>
          <w:p>
            <w:pPr>
              <w:pStyle w:val="Normal"/>
              <w:rPr>
                <w:sz w:val="24"/>
              </w:rPr>
            </w:pPr>
            <w:r>
              <w:rPr>
                <w:sz w:val="24"/>
              </w:rPr>
              <w:t>Banca Commerciale Italiana</w:t>
            </w:r>
          </w:p>
        </w:tc>
      </w:tr>
      <w:tr>
        <w:trPr/>
        <w:tc>
          <w:tcPr>
            <w:tcW w:w="3348" w:type="dxa"/>
            <w:tcBorders/>
          </w:tcPr>
          <w:p>
            <w:pPr>
              <w:pStyle w:val="Normal"/>
              <w:rPr>
                <w:sz w:val="24"/>
              </w:rPr>
            </w:pPr>
            <w:r>
              <w:rPr>
                <w:sz w:val="24"/>
              </w:rPr>
              <w:t>Edward Joseph Carrico</w:t>
            </w:r>
          </w:p>
        </w:tc>
        <w:tc>
          <w:tcPr>
            <w:tcW w:w="5508" w:type="dxa"/>
            <w:tcBorders/>
          </w:tcPr>
          <w:p>
            <w:pPr>
              <w:pStyle w:val="Normal"/>
              <w:rPr>
                <w:sz w:val="24"/>
              </w:rPr>
            </w:pPr>
            <w:r>
              <w:rPr>
                <w:sz w:val="24"/>
              </w:rPr>
              <w:t>Bankgesellschaft Berlin</w:t>
            </w:r>
          </w:p>
        </w:tc>
      </w:tr>
      <w:tr>
        <w:trPr/>
        <w:tc>
          <w:tcPr>
            <w:tcW w:w="3348" w:type="dxa"/>
            <w:tcBorders/>
          </w:tcPr>
          <w:p>
            <w:pPr>
              <w:pStyle w:val="Normal"/>
              <w:rPr>
                <w:sz w:val="24"/>
              </w:rPr>
            </w:pPr>
            <w:r>
              <w:rPr>
                <w:sz w:val="24"/>
              </w:rPr>
              <w:t>Ernst Decker</w:t>
            </w:r>
          </w:p>
        </w:tc>
        <w:tc>
          <w:tcPr>
            <w:tcW w:w="5508" w:type="dxa"/>
            <w:tcBorders/>
          </w:tcPr>
          <w:p>
            <w:pPr>
              <w:pStyle w:val="Normal"/>
              <w:rPr>
                <w:sz w:val="24"/>
              </w:rPr>
            </w:pPr>
            <w:r>
              <w:rPr>
                <w:sz w:val="24"/>
              </w:rPr>
              <w:t>BHF Bank</w:t>
            </w:r>
          </w:p>
        </w:tc>
      </w:tr>
      <w:tr>
        <w:trPr/>
        <w:tc>
          <w:tcPr>
            <w:tcW w:w="3348" w:type="dxa"/>
            <w:tcBorders/>
          </w:tcPr>
          <w:p>
            <w:pPr>
              <w:pStyle w:val="Normal"/>
              <w:rPr>
                <w:sz w:val="24"/>
              </w:rPr>
            </w:pPr>
            <w:r>
              <w:rPr>
                <w:sz w:val="24"/>
              </w:rPr>
              <w:t>Peter Harvey</w:t>
            </w:r>
          </w:p>
        </w:tc>
        <w:tc>
          <w:tcPr>
            <w:tcW w:w="5508" w:type="dxa"/>
            <w:tcBorders/>
          </w:tcPr>
          <w:p>
            <w:pPr>
              <w:pStyle w:val="Normal"/>
              <w:rPr>
                <w:sz w:val="24"/>
              </w:rPr>
            </w:pPr>
            <w:r>
              <w:rPr>
                <w:sz w:val="24"/>
              </w:rPr>
              <w:t>Sumitomo Bank Ltd.</w:t>
            </w:r>
          </w:p>
        </w:tc>
      </w:tr>
      <w:tr>
        <w:trPr/>
        <w:tc>
          <w:tcPr>
            <w:tcW w:w="3348" w:type="dxa"/>
            <w:tcBorders/>
          </w:tcPr>
          <w:p>
            <w:pPr>
              <w:pStyle w:val="Normal"/>
              <w:rPr>
                <w:sz w:val="24"/>
              </w:rPr>
            </w:pPr>
            <w:r>
              <w:rPr>
                <w:sz w:val="24"/>
              </w:rPr>
              <w:t>Gordon Kiesling</w:t>
            </w:r>
          </w:p>
        </w:tc>
        <w:tc>
          <w:tcPr>
            <w:tcW w:w="5508" w:type="dxa"/>
            <w:tcBorders/>
          </w:tcPr>
          <w:p>
            <w:pPr>
              <w:pStyle w:val="Normal"/>
              <w:rPr>
                <w:sz w:val="24"/>
              </w:rPr>
            </w:pPr>
            <w:r>
              <w:rPr>
                <w:sz w:val="24"/>
              </w:rPr>
              <w:t>Lehman Brothers (for Florence Nolan)</w:t>
            </w:r>
          </w:p>
        </w:tc>
      </w:tr>
      <w:tr>
        <w:trPr/>
        <w:tc>
          <w:tcPr>
            <w:tcW w:w="3348" w:type="dxa"/>
            <w:tcBorders/>
          </w:tcPr>
          <w:p>
            <w:pPr>
              <w:pStyle w:val="Normal"/>
              <w:rPr>
                <w:sz w:val="24"/>
              </w:rPr>
            </w:pPr>
            <w:r>
              <w:rPr>
                <w:sz w:val="24"/>
              </w:rPr>
              <w:t>Charles Ross-Stewart</w:t>
            </w:r>
          </w:p>
        </w:tc>
        <w:tc>
          <w:tcPr>
            <w:tcW w:w="5508" w:type="dxa"/>
            <w:tcBorders/>
          </w:tcPr>
          <w:p>
            <w:pPr>
              <w:pStyle w:val="Normal"/>
              <w:rPr>
                <w:sz w:val="24"/>
              </w:rPr>
            </w:pPr>
            <w:r>
              <w:rPr>
                <w:sz w:val="24"/>
              </w:rPr>
              <w:t>Warburg Dillon Read</w:t>
            </w:r>
          </w:p>
        </w:tc>
      </w:tr>
      <w:tr>
        <w:trPr/>
        <w:tc>
          <w:tcPr>
            <w:tcW w:w="3348" w:type="dxa"/>
            <w:tcBorders/>
          </w:tcPr>
          <w:p>
            <w:pPr>
              <w:pStyle w:val="Normal"/>
              <w:rPr>
                <w:sz w:val="24"/>
              </w:rPr>
            </w:pPr>
            <w:r>
              <w:rPr>
                <w:sz w:val="24"/>
              </w:rPr>
              <w:t>Mark Taylor</w:t>
            </w:r>
          </w:p>
        </w:tc>
        <w:tc>
          <w:tcPr>
            <w:tcW w:w="5508" w:type="dxa"/>
            <w:tcBorders/>
          </w:tcPr>
          <w:p>
            <w:pPr>
              <w:pStyle w:val="Normal"/>
              <w:rPr>
                <w:sz w:val="24"/>
              </w:rPr>
            </w:pPr>
            <w:r>
              <w:rPr>
                <w:sz w:val="24"/>
              </w:rPr>
              <w:t>Enron Capital &amp; Trade Resources</w:t>
            </w:r>
          </w:p>
        </w:tc>
      </w:tr>
      <w:tr>
        <w:trPr/>
        <w:tc>
          <w:tcPr>
            <w:tcW w:w="3348" w:type="dxa"/>
            <w:tcBorders/>
          </w:tcPr>
          <w:p>
            <w:pPr>
              <w:pStyle w:val="Normal"/>
              <w:rPr>
                <w:sz w:val="24"/>
              </w:rPr>
            </w:pPr>
            <w:r>
              <w:rPr>
                <w:sz w:val="24"/>
              </w:rPr>
              <w:t>Magda Karafotias</w:t>
            </w:r>
          </w:p>
        </w:tc>
        <w:tc>
          <w:tcPr>
            <w:tcW w:w="5508" w:type="dxa"/>
            <w:tcBorders/>
          </w:tcPr>
          <w:p>
            <w:pPr>
              <w:pStyle w:val="Normal"/>
              <w:rPr>
                <w:sz w:val="24"/>
              </w:rPr>
            </w:pPr>
            <w:r>
              <w:rPr>
                <w:sz w:val="24"/>
              </w:rPr>
              <w:t>ABN AMRO Bank (for Ravi Tennekoon)</w:t>
            </w:r>
          </w:p>
        </w:tc>
      </w:tr>
      <w:tr>
        <w:trPr/>
        <w:tc>
          <w:tcPr>
            <w:tcW w:w="3348" w:type="dxa"/>
            <w:tcBorders/>
          </w:tcPr>
          <w:p>
            <w:pPr>
              <w:pStyle w:val="Normal"/>
              <w:rPr>
                <w:sz w:val="24"/>
              </w:rPr>
            </w:pPr>
            <w:r>
              <w:rPr>
                <w:sz w:val="24"/>
              </w:rPr>
              <w:t>David Wysoki</w:t>
            </w:r>
          </w:p>
        </w:tc>
        <w:tc>
          <w:tcPr>
            <w:tcW w:w="5508" w:type="dxa"/>
            <w:tcBorders/>
          </w:tcPr>
          <w:p>
            <w:pPr>
              <w:pStyle w:val="Normal"/>
              <w:rPr>
                <w:sz w:val="24"/>
              </w:rPr>
            </w:pPr>
            <w:r>
              <w:rPr>
                <w:sz w:val="24"/>
              </w:rPr>
              <w:t>Barclays Bank</w:t>
            </w:r>
          </w:p>
        </w:tc>
      </w:tr>
      <w:tr>
        <w:trPr/>
        <w:tc>
          <w:tcPr>
            <w:tcW w:w="3348" w:type="dxa"/>
            <w:tcBorders/>
          </w:tcPr>
          <w:p>
            <w:pPr>
              <w:pStyle w:val="Normal"/>
              <w:rPr>
                <w:sz w:val="24"/>
              </w:rPr>
            </w:pPr>
            <w:r>
              <w:rPr>
                <w:sz w:val="24"/>
              </w:rPr>
              <w:t>Richard Tredgett</w:t>
            </w:r>
          </w:p>
        </w:tc>
        <w:tc>
          <w:tcPr>
            <w:tcW w:w="5508" w:type="dxa"/>
            <w:tcBorders/>
          </w:tcPr>
          <w:p>
            <w:pPr>
              <w:pStyle w:val="Normal"/>
              <w:rPr>
                <w:sz w:val="24"/>
              </w:rPr>
            </w:pPr>
            <w:r>
              <w:rPr>
                <w:sz w:val="24"/>
              </w:rPr>
              <w:t>Allen &amp; Overy</w:t>
            </w:r>
          </w:p>
        </w:tc>
      </w:tr>
      <w:tr>
        <w:trPr/>
        <w:tc>
          <w:tcPr>
            <w:tcW w:w="3348" w:type="dxa"/>
            <w:tcBorders/>
          </w:tcPr>
          <w:p>
            <w:pPr>
              <w:pStyle w:val="Normal"/>
              <w:rPr>
                <w:sz w:val="24"/>
              </w:rPr>
            </w:pPr>
            <w:r>
              <w:rPr>
                <w:sz w:val="24"/>
              </w:rPr>
              <w:t>Deborah Hirsch</w:t>
            </w:r>
          </w:p>
        </w:tc>
        <w:tc>
          <w:tcPr>
            <w:tcW w:w="5508" w:type="dxa"/>
            <w:tcBorders/>
          </w:tcPr>
          <w:p>
            <w:pPr>
              <w:pStyle w:val="Normal"/>
              <w:rPr>
                <w:sz w:val="24"/>
              </w:rPr>
            </w:pPr>
            <w:r>
              <w:rPr>
                <w:sz w:val="24"/>
              </w:rPr>
              <w:t>Allen &amp; Overy</w:t>
            </w:r>
          </w:p>
        </w:tc>
      </w:tr>
    </w:tbl>
    <w:p>
      <w:pPr>
        <w:pStyle w:val="Normal"/>
        <w:rPr>
          <w:sz w:val="24"/>
        </w:rPr>
      </w:pPr>
      <w:r>
        <w:rPr>
          <w:sz w:val="24"/>
        </w:rPr>
      </w:r>
    </w:p>
    <w:p>
      <w:pPr>
        <w:pStyle w:val="BodyText"/>
        <w:rPr/>
      </w:pPr>
      <w:r>
        <w:rPr/>
        <w:t>Robert Pickel, Angel Papesch, Corrine Greasley and Alex Hunt of ISDA were also in attendance.  A copy of the agenda for the meeting is attached.</w:t>
      </w:r>
    </w:p>
    <w:p>
      <w:pPr>
        <w:pStyle w:val="Normal"/>
        <w:rPr>
          <w:sz w:val="24"/>
        </w:rPr>
      </w:pPr>
      <w:r>
        <w:rPr>
          <w:sz w:val="24"/>
        </w:rPr>
      </w:r>
    </w:p>
    <w:p>
      <w:pPr>
        <w:pStyle w:val="Normal"/>
        <w:rPr>
          <w:sz w:val="24"/>
        </w:rPr>
      </w:pPr>
      <w:r>
        <w:rPr>
          <w:sz w:val="24"/>
        </w:rPr>
        <w:t>The meeting focused on the various means of achieving cross-product netting across different classes of financial transactions—swaps, FX, repurchase agreements, securities lending, etc. In general, participants in the meeting felt that several approaches could be pursued and that certain approaches would work better in certain jurisdictions or with particular types of parties.</w:t>
      </w:r>
    </w:p>
    <w:p>
      <w:pPr>
        <w:pStyle w:val="Normal"/>
        <w:rPr>
          <w:sz w:val="24"/>
        </w:rPr>
      </w:pPr>
      <w:r>
        <w:rPr>
          <w:sz w:val="24"/>
        </w:rPr>
      </w:r>
    </w:p>
    <w:p>
      <w:pPr>
        <w:pStyle w:val="Normal"/>
        <w:rPr>
          <w:sz w:val="24"/>
        </w:rPr>
      </w:pPr>
      <w:r>
        <w:rPr>
          <w:sz w:val="24"/>
        </w:rPr>
        <w:t>Several specific concerns were noted with the different approaches considered, i.e., a master master, a single master agreement capable of encompassing derivatives, repurchase transactions, foreign exchange and other relevant product, and bridges between documents. Ultimately, the issue will be which approach is most likely to be enforceable and which will maximize the benefits of netting.</w:t>
      </w:r>
    </w:p>
    <w:p>
      <w:pPr>
        <w:pStyle w:val="Normal"/>
        <w:rPr>
          <w:sz w:val="24"/>
        </w:rPr>
      </w:pPr>
      <w:r>
        <w:rPr>
          <w:sz w:val="24"/>
        </w:rPr>
      </w:r>
    </w:p>
    <w:p>
      <w:pPr>
        <w:pStyle w:val="Heading1"/>
        <w:ind w:hanging="0" w:start="0"/>
        <w:rPr/>
      </w:pPr>
      <w:r>
        <w:rPr/>
        <w:t>Issues common to all three approaches</w:t>
      </w:r>
    </w:p>
    <w:p>
      <w:pPr>
        <w:pStyle w:val="Normal"/>
        <w:rPr>
          <w:sz w:val="24"/>
        </w:rPr>
      </w:pPr>
      <w:r>
        <w:rPr>
          <w:sz w:val="24"/>
        </w:rPr>
      </w:r>
    </w:p>
    <w:p>
      <w:pPr>
        <w:pStyle w:val="Normal"/>
        <w:numPr>
          <w:ilvl w:val="0"/>
          <w:numId w:val="2"/>
        </w:numPr>
        <w:tabs>
          <w:tab w:val="clear" w:pos="720"/>
          <w:tab w:val="left" w:pos="1080" w:leader="none"/>
        </w:tabs>
        <w:ind w:hanging="360" w:start="1080" w:end="0"/>
        <w:rPr>
          <w:sz w:val="24"/>
        </w:rPr>
      </w:pPr>
      <w:r>
        <w:rPr>
          <w:sz w:val="24"/>
        </w:rPr>
        <w:t>Cross-product netting is not as effective for those groups of companies that, for regulatory or business reasons, do different types of transactions out of different legal entities. For these groups, cross-affiliate netting must be established, unless those regulatory or business considerations change. Attendees realized that cross-affiliate netting will be harder to achieve.</w:t>
      </w:r>
    </w:p>
    <w:p>
      <w:pPr>
        <w:pStyle w:val="Normal"/>
        <w:rPr>
          <w:sz w:val="24"/>
        </w:rPr>
      </w:pPr>
      <w:r>
        <w:rPr>
          <w:sz w:val="24"/>
        </w:rPr>
      </w:r>
    </w:p>
    <w:p>
      <w:pPr>
        <w:pStyle w:val="Normal"/>
        <w:numPr>
          <w:ilvl w:val="0"/>
          <w:numId w:val="4"/>
        </w:numPr>
        <w:tabs>
          <w:tab w:val="clear" w:pos="720"/>
          <w:tab w:val="left" w:pos="1080" w:leader="none"/>
        </w:tabs>
        <w:ind w:hanging="360" w:start="1080" w:end="0"/>
        <w:rPr>
          <w:sz w:val="24"/>
        </w:rPr>
      </w:pPr>
      <w:r>
        <w:rPr>
          <w:sz w:val="24"/>
        </w:rPr>
        <w:t xml:space="preserve">Any approach may present specific regulatory or insolvency issues that must be carefully considered. </w:t>
      </w:r>
    </w:p>
    <w:p>
      <w:pPr>
        <w:pStyle w:val="Normal"/>
        <w:rPr>
          <w:sz w:val="24"/>
        </w:rPr>
      </w:pPr>
      <w:r>
        <w:rPr>
          <w:sz w:val="24"/>
        </w:rPr>
      </w:r>
    </w:p>
    <w:p>
      <w:pPr>
        <w:pStyle w:val="Heading1"/>
        <w:ind w:hanging="0" w:start="0"/>
        <w:rPr/>
      </w:pPr>
      <w:r>
        <w:rPr/>
        <w:t>Issues with master master</w:t>
      </w:r>
    </w:p>
    <w:p>
      <w:pPr>
        <w:pStyle w:val="Normal"/>
        <w:rPr>
          <w:sz w:val="24"/>
        </w:rPr>
      </w:pPr>
      <w:r>
        <w:rPr>
          <w:sz w:val="24"/>
        </w:rPr>
      </w:r>
    </w:p>
    <w:p>
      <w:pPr>
        <w:pStyle w:val="Normal"/>
        <w:numPr>
          <w:ilvl w:val="0"/>
          <w:numId w:val="8"/>
        </w:numPr>
        <w:tabs>
          <w:tab w:val="clear" w:pos="720"/>
          <w:tab w:val="left" w:pos="1080" w:leader="none"/>
        </w:tabs>
        <w:ind w:hanging="360" w:start="1080" w:end="0"/>
        <w:rPr>
          <w:sz w:val="24"/>
        </w:rPr>
      </w:pPr>
      <w:r>
        <w:rPr>
          <w:sz w:val="24"/>
        </w:rPr>
        <w:t>In some jurisdictions, such as Germany, cross-product netting can take place only if an agreement governing the full range of transactions is in place, which agreement can be terminated in whole but not in part. This concern would suggest that a master master approach could be less effective than a single master.</w:t>
      </w:r>
    </w:p>
    <w:p>
      <w:pPr>
        <w:pStyle w:val="Normal"/>
        <w:rPr>
          <w:sz w:val="24"/>
        </w:rPr>
      </w:pPr>
      <w:r>
        <w:rPr>
          <w:sz w:val="24"/>
        </w:rPr>
      </w:r>
    </w:p>
    <w:p>
      <w:pPr>
        <w:pStyle w:val="Normal"/>
        <w:numPr>
          <w:ilvl w:val="0"/>
          <w:numId w:val="6"/>
        </w:numPr>
        <w:tabs>
          <w:tab w:val="clear" w:pos="720"/>
          <w:tab w:val="left" w:pos="1080" w:leader="none"/>
        </w:tabs>
        <w:ind w:hanging="360" w:start="1080" w:end="0"/>
        <w:rPr>
          <w:sz w:val="24"/>
        </w:rPr>
      </w:pPr>
      <w:r>
        <w:rPr>
          <w:sz w:val="24"/>
        </w:rPr>
        <w:t>Master master requires an additional master to be agreed to, in addition to the underlying product-specific master agreements. As a result, master master may be less attractive than a single agreement for a new customer or for an end-user because it would require the negotiation of multiple masters. Conversely, master master may be more attractive for parties who already have established product-specific masters.</w:t>
      </w:r>
    </w:p>
    <w:p>
      <w:pPr>
        <w:pStyle w:val="Normal"/>
        <w:rPr>
          <w:sz w:val="24"/>
        </w:rPr>
      </w:pPr>
      <w:r>
        <w:rPr>
          <w:sz w:val="24"/>
        </w:rPr>
      </w:r>
    </w:p>
    <w:p>
      <w:pPr>
        <w:pStyle w:val="Heading1"/>
        <w:ind w:hanging="0" w:start="0"/>
        <w:rPr/>
      </w:pPr>
      <w:r>
        <w:rPr/>
        <w:t>Issues with Single Agreement Approach</w:t>
      </w:r>
    </w:p>
    <w:p>
      <w:pPr>
        <w:pStyle w:val="Normal"/>
        <w:rPr>
          <w:sz w:val="24"/>
          <w:u w:val="single"/>
        </w:rPr>
      </w:pPr>
      <w:r>
        <w:rPr>
          <w:sz w:val="24"/>
          <w:u w:val="single"/>
        </w:rPr>
      </w:r>
    </w:p>
    <w:p>
      <w:pPr>
        <w:pStyle w:val="Normal"/>
        <w:numPr>
          <w:ilvl w:val="0"/>
          <w:numId w:val="7"/>
        </w:numPr>
        <w:tabs>
          <w:tab w:val="clear" w:pos="720"/>
          <w:tab w:val="left" w:pos="1080" w:leader="none"/>
        </w:tabs>
        <w:ind w:hanging="360" w:start="1080" w:end="0"/>
        <w:rPr>
          <w:sz w:val="24"/>
        </w:rPr>
      </w:pPr>
      <w:r>
        <w:rPr>
          <w:sz w:val="24"/>
        </w:rPr>
        <w:t>The group acknowledged that a single agreement approach was likely to present issues with other organizations that sponsor product-specific master agreements, but those concerns should not stand in the way of developing such an approach where there are benefits to be gained from a single agreement.</w:t>
      </w:r>
    </w:p>
    <w:p>
      <w:pPr>
        <w:pStyle w:val="Normal"/>
        <w:rPr>
          <w:sz w:val="24"/>
        </w:rPr>
      </w:pPr>
      <w:r>
        <w:rPr>
          <w:sz w:val="24"/>
        </w:rPr>
      </w:r>
    </w:p>
    <w:p>
      <w:pPr>
        <w:pStyle w:val="Normal"/>
        <w:numPr>
          <w:ilvl w:val="0"/>
          <w:numId w:val="3"/>
        </w:numPr>
        <w:tabs>
          <w:tab w:val="clear" w:pos="720"/>
          <w:tab w:val="left" w:pos="1080" w:leader="none"/>
        </w:tabs>
        <w:ind w:hanging="360" w:start="1080" w:end="0"/>
        <w:rPr>
          <w:sz w:val="24"/>
        </w:rPr>
      </w:pPr>
      <w:r>
        <w:rPr>
          <w:sz w:val="24"/>
        </w:rPr>
        <w:t>There may be a need to open up the severability debate (which is discussed in the User’s Guide to the 1992 Master Agreements) if a broader range of transactions is included under the ISDA Master.</w:t>
      </w:r>
    </w:p>
    <w:p>
      <w:pPr>
        <w:pStyle w:val="Normal"/>
        <w:rPr>
          <w:sz w:val="24"/>
        </w:rPr>
      </w:pPr>
      <w:r>
        <w:rPr>
          <w:sz w:val="24"/>
        </w:rPr>
      </w:r>
    </w:p>
    <w:p>
      <w:pPr>
        <w:pStyle w:val="Heading1"/>
        <w:ind w:hanging="0" w:start="0"/>
        <w:rPr/>
      </w:pPr>
      <w:r>
        <w:rPr/>
        <w:t>Issues with Bridge Approach</w:t>
      </w:r>
    </w:p>
    <w:p>
      <w:pPr>
        <w:pStyle w:val="Normal"/>
        <w:rPr>
          <w:sz w:val="24"/>
          <w:u w:val="single"/>
        </w:rPr>
      </w:pPr>
      <w:r>
        <w:rPr>
          <w:sz w:val="24"/>
          <w:u w:val="single"/>
        </w:rPr>
      </w:r>
    </w:p>
    <w:p>
      <w:pPr>
        <w:pStyle w:val="Normal"/>
        <w:numPr>
          <w:ilvl w:val="0"/>
          <w:numId w:val="5"/>
        </w:numPr>
        <w:tabs>
          <w:tab w:val="clear" w:pos="720"/>
          <w:tab w:val="left" w:pos="1080" w:leader="none"/>
        </w:tabs>
        <w:ind w:hanging="360" w:start="1080" w:end="0"/>
        <w:rPr>
          <w:sz w:val="24"/>
        </w:rPr>
      </w:pPr>
      <w:r>
        <w:rPr>
          <w:sz w:val="24"/>
        </w:rPr>
        <w:t>Bridges between agreements, where the results of close-out under one agreement are included in the close-out of another agreement (such as Section 6 of the ISDA Master Agreement), can achieve cross-product netting. This would be different from the insolvency bridge approach used for the BBAIRS and FRABBA bridges. This different approach may be more complicated than the BBAIRS/FRABBA approach and time may be better spent on developing effective master master or single master approaches. Several participants volunteered to review other industry documents to see what might need to be done to provide a bridge between documents.</w:t>
      </w:r>
    </w:p>
    <w:p>
      <w:pPr>
        <w:pStyle w:val="Normal"/>
        <w:rPr>
          <w:sz w:val="24"/>
        </w:rPr>
      </w:pPr>
      <w:r>
        <w:rPr>
          <w:sz w:val="24"/>
        </w:rPr>
      </w:r>
    </w:p>
    <w:p>
      <w:pPr>
        <w:pStyle w:val="Normal"/>
        <w:rPr>
          <w:sz w:val="24"/>
        </w:rPr>
      </w:pPr>
      <w:r>
        <w:rPr>
          <w:sz w:val="24"/>
        </w:rPr>
        <w:t>Participants discussed the draft master master distributed by The Bond Market Association and all participants were encouraged to provide their comments to Richard Tredgett at Allen &amp; Overy by Friday, August 6. One attendee, who had been involved in the development of that document, pointed out that an issue remained on the cross-collateral provisions and that the document afforded the closing-out party great leverage over which agreements were closed out. He also pointed out that those involved in the development of the document were aware of the need to consider obtaining legal opinions on the document.</w:t>
      </w:r>
    </w:p>
    <w:p>
      <w:pPr>
        <w:pStyle w:val="Normal"/>
        <w:rPr>
          <w:sz w:val="24"/>
        </w:rPr>
      </w:pPr>
      <w:r>
        <w:rPr>
          <w:sz w:val="24"/>
        </w:rPr>
      </w:r>
    </w:p>
    <w:p>
      <w:pPr>
        <w:pStyle w:val="Heading1"/>
        <w:ind w:hanging="0" w:start="0"/>
        <w:rPr/>
      </w:pPr>
      <w:r>
        <w:rPr/>
        <w:t>Next Steps</w:t>
      </w:r>
    </w:p>
    <w:p>
      <w:pPr>
        <w:pStyle w:val="Normal"/>
        <w:rPr>
          <w:sz w:val="24"/>
        </w:rPr>
      </w:pPr>
      <w:r>
        <w:rPr>
          <w:sz w:val="24"/>
        </w:rPr>
      </w:r>
    </w:p>
    <w:p>
      <w:pPr>
        <w:pStyle w:val="Normal"/>
        <w:rPr>
          <w:sz w:val="24"/>
        </w:rPr>
      </w:pPr>
      <w:r>
        <w:rPr>
          <w:sz w:val="24"/>
        </w:rPr>
        <w:t xml:space="preserve">August 6 was agreed as the deadline for comments on the master master and for the review of industry documents for possible bridges. The working group will next meet on August 12 to discuss progress. </w:t>
      </w:r>
    </w:p>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sz w:val="24"/>
      </w:rPr>
      <w:t>Master Agreement Structural Issues</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1999-08-03T13:06:00Z</dcterms:created>
  <dc:creator>Robert Pickel</dc:creator>
  <dc:description/>
  <dc:language>en-CA</dc:language>
  <cp:lastModifiedBy>Barbara Hanlon</cp:lastModifiedBy>
  <cp:lastPrinted>1999-08-03T15:32:00Z</cp:lastPrinted>
  <dcterms:modified xsi:type="dcterms:W3CDTF">1999-08-03T17:02:00Z</dcterms:modified>
  <cp:revision>9</cp:revision>
  <dc:subject/>
  <dc:title>A copy of the agenda for the meeting is attached</dc:title>
</cp:coreProperties>
</file>