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sz w:val="40"/>
        </w:rPr>
      </w:pPr>
      <w:r>
        <w:rPr>
          <w:b/>
          <w:sz w:val="40"/>
        </w:rPr>
        <w:t>Unbundling Natural Gas Services</w:t>
      </w:r>
    </w:p>
    <w:p>
      <w:pPr>
        <w:pStyle w:val="Normal"/>
        <w:spacing w:lineRule="auto" w:line="360"/>
        <w:jc w:val="center"/>
        <w:rPr>
          <w:b/>
          <w:sz w:val="40"/>
        </w:rPr>
      </w:pPr>
      <w:r>
        <w:rPr>
          <w:b/>
          <w:sz w:val="40"/>
        </w:rPr>
        <w:t xml:space="preserve"> </w:t>
      </w:r>
      <w:r>
        <w:rPr>
          <w:b/>
          <w:sz w:val="40"/>
        </w:rPr>
        <w:t>For Smaller-Volume End-Users</w:t>
      </w:r>
    </w:p>
    <w:p>
      <w:pPr>
        <w:pStyle w:val="Normal"/>
        <w:spacing w:lineRule="auto" w:line="360"/>
        <w:jc w:val="center"/>
        <w:rPr>
          <w:b/>
          <w:sz w:val="36"/>
        </w:rPr>
      </w:pPr>
      <w:r>
        <w:rPr>
          <w:b/>
          <w:sz w:val="36"/>
        </w:rPr>
        <w:t>Status of State Activity</w:t>
      </w:r>
    </w:p>
    <w:p>
      <w:pPr>
        <w:pStyle w:val="Normal"/>
        <w:spacing w:lineRule="auto" w:line="360"/>
        <w:jc w:val="center"/>
        <w:rPr>
          <w:b/>
          <w:sz w:val="36"/>
        </w:rPr>
      </w:pPr>
      <w:r>
        <w:rPr>
          <w:b/>
          <w:sz w:val="36"/>
        </w:rPr>
        <w:t xml:space="preserve"> </w:t>
      </w:r>
      <w:r>
        <w:rPr>
          <w:b/>
          <w:sz w:val="36"/>
        </w:rPr>
        <w:t>In Enron Transportation Services</w:t>
      </w:r>
    </w:p>
    <w:p>
      <w:pPr>
        <w:pStyle w:val="Normal"/>
        <w:spacing w:lineRule="auto" w:line="360"/>
        <w:jc w:val="center"/>
        <w:rPr>
          <w:b/>
          <w:sz w:val="40"/>
        </w:rPr>
      </w:pPr>
      <w:r>
        <w:rPr>
          <w:b/>
          <w:sz w:val="36"/>
        </w:rPr>
        <w:t>Service Territories</w:t>
      </w:r>
    </w:p>
    <w:p>
      <w:pPr>
        <w:pStyle w:val="Normal"/>
        <w:jc w:val="center"/>
        <w:rPr>
          <w:b/>
          <w:sz w:val="32"/>
        </w:rPr>
      </w:pPr>
      <w:r>
        <w:rPr>
          <w:b/>
          <w:sz w:val="32"/>
        </w:rPr>
        <w:t>July 2001</w:t>
      </w:r>
    </w:p>
    <w:p>
      <w:pPr>
        <w:pStyle w:val="Normal"/>
        <w:jc w:val="center"/>
        <w:rPr>
          <w:b/>
          <w:sz w:val="40"/>
        </w:rPr>
      </w:pPr>
      <w:r>
        <w:rPr>
          <w:b/>
          <w:sz w:val="40"/>
        </w:rPr>
      </w:r>
    </w:p>
    <w:p>
      <w:pPr>
        <w:pStyle w:val="Normal"/>
        <w:jc w:val="center"/>
        <w:rPr/>
      </w:pPr>
      <w:hyperlink w:anchor="_Hlk520699818">
        <w:r>
          <w:rPr>
            <w:rStyle w:val="Hyperlink"/>
          </w:rPr>
          <w:t>Table of Contents</w:t>
        </w:r>
      </w:hyperlink>
    </w:p>
    <w:p>
      <w:pPr>
        <w:pStyle w:val="Normal"/>
        <w:jc w:val="center"/>
        <w:rPr>
          <w:rStyle w:val="Hyperlink"/>
        </w:rPr>
      </w:pPr>
      <w:hyperlink w:anchor="_Hlk520699818">
        <w:r>
          <w:rPr/>
        </w:r>
      </w:hyperlink>
    </w:p>
    <w:p>
      <w:pPr>
        <w:pStyle w:val="Normal"/>
        <w:jc w:val="center"/>
        <w:rPr>
          <w:b/>
          <w:sz w:val="28"/>
        </w:rPr>
      </w:pPr>
      <w:r>
        <w:rPr>
          <w:b/>
          <w:sz w:val="28"/>
        </w:rPr>
      </w:r>
      <w:r>
        <w:br w:type="page"/>
      </w:r>
    </w:p>
    <w:p>
      <w:pPr>
        <w:pStyle w:val="Normal"/>
        <w:jc w:val="center"/>
        <w:rPr>
          <w:b/>
          <w:sz w:val="28"/>
        </w:rPr>
      </w:pPr>
      <w:r>
        <w:rPr>
          <w:b/>
          <w:sz w:val="28"/>
        </w:rPr>
      </w:r>
    </w:p>
    <w:p>
      <w:pPr>
        <w:pStyle w:val="Normal"/>
        <w:jc w:val="center"/>
        <w:rPr>
          <w:b/>
          <w:sz w:val="40"/>
        </w:rPr>
      </w:pPr>
      <w:bookmarkStart w:id="0" w:name="_Hlk520700310"/>
      <w:bookmarkStart w:id="1" w:name="_Hlk520699818"/>
      <w:bookmarkEnd w:id="1"/>
      <w:r>
        <w:rPr>
          <w:b/>
          <w:sz w:val="40"/>
        </w:rPr>
        <w:t>Table of Contents</w:t>
      </w:r>
      <w:bookmarkEnd w:id="0"/>
    </w:p>
    <w:p>
      <w:pPr>
        <w:pStyle w:val="Normal"/>
        <w:jc w:val="center"/>
        <w:rPr>
          <w:b/>
          <w:sz w:val="40"/>
        </w:rPr>
      </w:pPr>
      <w:r>
        <w:rPr>
          <w:b/>
          <w:sz w:val="40"/>
        </w:rPr>
      </w:r>
      <w:bookmarkStart w:id="2" w:name="_Hlk520699818"/>
      <w:bookmarkStart w:id="3" w:name="_Hlk520699818"/>
      <w:bookmarkEnd w:id="3"/>
    </w:p>
    <w:tbl>
      <w:tblPr>
        <w:tblW w:w="9576" w:type="dxa"/>
        <w:jc w:val="start"/>
        <w:tblInd w:w="0" w:type="dxa"/>
        <w:tblLayout w:type="fixed"/>
        <w:tblCellMar>
          <w:top w:w="0" w:type="dxa"/>
          <w:start w:w="108" w:type="dxa"/>
          <w:bottom w:w="0" w:type="dxa"/>
          <w:end w:w="108" w:type="dxa"/>
        </w:tblCellMar>
      </w:tblPr>
      <w:tblGrid>
        <w:gridCol w:w="8748"/>
        <w:gridCol w:w="828"/>
      </w:tblGrid>
      <w:tr>
        <w:trPr/>
        <w:tc>
          <w:tcPr>
            <w:tcW w:w="8748" w:type="dxa"/>
            <w:tcBorders/>
          </w:tcPr>
          <w:p>
            <w:pPr>
              <w:pStyle w:val="Normal"/>
              <w:rPr>
                <w:b/>
                <w:sz w:val="28"/>
              </w:rPr>
            </w:pPr>
            <w:r>
              <w:rPr>
                <w:b/>
                <w:sz w:val="28"/>
              </w:rPr>
              <w:t>Section</w:t>
            </w:r>
          </w:p>
        </w:tc>
        <w:tc>
          <w:tcPr>
            <w:tcW w:w="828" w:type="dxa"/>
            <w:tcBorders/>
          </w:tcPr>
          <w:p>
            <w:pPr>
              <w:pStyle w:val="Normal"/>
              <w:jc w:val="end"/>
              <w:rPr>
                <w:b/>
                <w:sz w:val="28"/>
              </w:rPr>
            </w:pPr>
            <w:r>
              <w:rPr>
                <w:b/>
                <w:sz w:val="28"/>
              </w:rPr>
              <w:t>Page</w:t>
            </w:r>
          </w:p>
        </w:tc>
      </w:tr>
      <w:tr>
        <w:trPr/>
        <w:tc>
          <w:tcPr>
            <w:tcW w:w="8748" w:type="dxa"/>
            <w:tcBorders/>
          </w:tcPr>
          <w:p>
            <w:pPr>
              <w:pStyle w:val="Normal"/>
              <w:snapToGrid w:val="false"/>
              <w:rPr>
                <w:b/>
                <w:sz w:val="28"/>
              </w:rPr>
            </w:pPr>
            <w:r>
              <w:rPr>
                <w:b/>
                <w:sz w:val="28"/>
              </w:rPr>
            </w:r>
          </w:p>
        </w:tc>
        <w:tc>
          <w:tcPr>
            <w:tcW w:w="828" w:type="dxa"/>
            <w:tcBorders/>
          </w:tcPr>
          <w:p>
            <w:pPr>
              <w:pStyle w:val="Normal"/>
              <w:snapToGrid w:val="false"/>
              <w:jc w:val="end"/>
              <w:rPr>
                <w:b/>
              </w:rPr>
            </w:pPr>
            <w:r>
              <w:rPr>
                <w:b/>
              </w:rPr>
            </w:r>
          </w:p>
        </w:tc>
      </w:tr>
      <w:tr>
        <w:trPr/>
        <w:tc>
          <w:tcPr>
            <w:tcW w:w="8748" w:type="dxa"/>
            <w:tcBorders/>
          </w:tcPr>
          <w:p>
            <w:pPr>
              <w:pStyle w:val="Normal"/>
              <w:rPr/>
            </w:pPr>
            <w:hyperlink w:anchor="_Hlk520701839">
              <w:r>
                <w:rPr>
                  <w:rStyle w:val="Hyperlink"/>
                </w:rPr>
                <w:t xml:space="preserve">Overview </w:t>
              </w:r>
            </w:hyperlink>
            <w:r>
              <w:rPr/>
              <w:t xml:space="preserve"> ………………………………………………………………………………...</w:t>
            </w:r>
          </w:p>
        </w:tc>
        <w:tc>
          <w:tcPr>
            <w:tcW w:w="828" w:type="dxa"/>
            <w:tcBorders/>
          </w:tcPr>
          <w:p>
            <w:pPr>
              <w:pStyle w:val="Normal"/>
              <w:jc w:val="end"/>
              <w:rPr/>
            </w:pPr>
            <w:r>
              <w:rPr/>
              <w:t>3</w:t>
            </w:r>
          </w:p>
        </w:tc>
      </w:tr>
      <w:tr>
        <w:trPr/>
        <w:tc>
          <w:tcPr>
            <w:tcW w:w="8748" w:type="dxa"/>
            <w:tcBorders/>
          </w:tcPr>
          <w:p>
            <w:pPr>
              <w:pStyle w:val="Normal"/>
              <w:snapToGrid w:val="false"/>
              <w:rPr>
                <w:b/>
              </w:rPr>
            </w:pPr>
            <w:r>
              <w:rPr>
                <w:b/>
              </w:rPr>
            </w:r>
          </w:p>
        </w:tc>
        <w:tc>
          <w:tcPr>
            <w:tcW w:w="828" w:type="dxa"/>
            <w:tcBorders/>
          </w:tcPr>
          <w:p>
            <w:pPr>
              <w:pStyle w:val="Normal"/>
              <w:snapToGrid w:val="false"/>
              <w:jc w:val="end"/>
              <w:rPr>
                <w:b/>
              </w:rPr>
            </w:pPr>
            <w:r>
              <w:rPr>
                <w:b/>
              </w:rPr>
            </w:r>
          </w:p>
        </w:tc>
      </w:tr>
      <w:tr>
        <w:trPr/>
        <w:tc>
          <w:tcPr>
            <w:tcW w:w="8748" w:type="dxa"/>
            <w:tcBorders/>
          </w:tcPr>
          <w:p>
            <w:pPr>
              <w:pStyle w:val="Normal"/>
              <w:rPr>
                <w:b/>
              </w:rPr>
            </w:pPr>
            <w:r>
              <w:rPr>
                <w:b/>
              </w:rPr>
              <w:t>Northern Natural Gas Company</w:t>
            </w:r>
          </w:p>
        </w:tc>
        <w:tc>
          <w:tcPr>
            <w:tcW w:w="828" w:type="dxa"/>
            <w:tcBorders/>
          </w:tcPr>
          <w:p>
            <w:pPr>
              <w:pStyle w:val="Normal"/>
              <w:snapToGrid w:val="false"/>
              <w:jc w:val="end"/>
              <w:rPr>
                <w:b/>
              </w:rPr>
            </w:pPr>
            <w:r>
              <w:rPr>
                <w:b/>
              </w:rPr>
            </w:r>
          </w:p>
        </w:tc>
      </w:tr>
      <w:tr>
        <w:trPr/>
        <w:tc>
          <w:tcPr>
            <w:tcW w:w="8748" w:type="dxa"/>
            <w:tcBorders/>
          </w:tcPr>
          <w:p>
            <w:pPr>
              <w:pStyle w:val="Normal"/>
              <w:snapToGrid w:val="false"/>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699956">
              <w:r>
                <w:rPr>
                  <w:rStyle w:val="Hyperlink"/>
                </w:rPr>
                <w:t>Iowa</w:t>
              </w:r>
            </w:hyperlink>
            <w:r>
              <w:rPr/>
              <w:t>…………………………………………………………………………………...</w:t>
            </w:r>
          </w:p>
        </w:tc>
        <w:tc>
          <w:tcPr>
            <w:tcW w:w="828" w:type="dxa"/>
            <w:tcBorders/>
          </w:tcPr>
          <w:p>
            <w:pPr>
              <w:pStyle w:val="Normal"/>
              <w:jc w:val="end"/>
              <w:rPr/>
            </w:pPr>
            <w:r>
              <w:rPr/>
              <w:t>5</w:t>
            </w:r>
          </w:p>
        </w:tc>
      </w:tr>
      <w:tr>
        <w:trPr/>
        <w:tc>
          <w:tcPr>
            <w:tcW w:w="8748" w:type="dxa"/>
            <w:tcBorders/>
          </w:tcPr>
          <w:p>
            <w:pPr>
              <w:pStyle w:val="Normal"/>
              <w:snapToGrid w:val="false"/>
              <w:ind w:start="432" w:end="0"/>
              <w:rPr>
                <w:b/>
              </w:rPr>
            </w:pPr>
            <w:r>
              <w:rPr>
                <w:b/>
              </w:rPr>
            </w:r>
          </w:p>
        </w:tc>
        <w:tc>
          <w:tcPr>
            <w:tcW w:w="828" w:type="dxa"/>
            <w:tcBorders/>
          </w:tcPr>
          <w:p>
            <w:pPr>
              <w:pStyle w:val="Normal"/>
              <w:snapToGrid w:val="false"/>
              <w:jc w:val="end"/>
              <w:rPr>
                <w:b/>
              </w:rPr>
            </w:pPr>
            <w:r>
              <w:rPr>
                <w:b/>
              </w:rPr>
            </w:r>
          </w:p>
        </w:tc>
      </w:tr>
      <w:tr>
        <w:trPr/>
        <w:tc>
          <w:tcPr>
            <w:tcW w:w="8748" w:type="dxa"/>
            <w:tcBorders/>
          </w:tcPr>
          <w:p>
            <w:pPr>
              <w:pStyle w:val="Normal"/>
              <w:ind w:start="432" w:end="0"/>
              <w:rPr/>
            </w:pPr>
            <w:hyperlink w:anchor="_Hlk520700035">
              <w:r>
                <w:rPr>
                  <w:rStyle w:val="Hyperlink"/>
                </w:rPr>
                <w:t>Minnesota</w:t>
              </w:r>
            </w:hyperlink>
            <w:r>
              <w:rPr/>
              <w:t>……………………………………………………………………………..</w:t>
            </w:r>
          </w:p>
        </w:tc>
        <w:tc>
          <w:tcPr>
            <w:tcW w:w="828" w:type="dxa"/>
            <w:tcBorders/>
          </w:tcPr>
          <w:p>
            <w:pPr>
              <w:pStyle w:val="Normal"/>
              <w:jc w:val="end"/>
              <w:rPr/>
            </w:pPr>
            <w:r>
              <w:rPr/>
              <w:t>8</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0128">
              <w:r>
                <w:rPr>
                  <w:rStyle w:val="Hyperlink"/>
                </w:rPr>
                <w:t>Wisconsin</w:t>
              </w:r>
            </w:hyperlink>
            <w:r>
              <w:rPr/>
              <w:t>…………………………………………………………………………….</w:t>
            </w:r>
          </w:p>
        </w:tc>
        <w:tc>
          <w:tcPr>
            <w:tcW w:w="828" w:type="dxa"/>
            <w:tcBorders/>
          </w:tcPr>
          <w:p>
            <w:pPr>
              <w:pStyle w:val="Normal"/>
              <w:jc w:val="end"/>
              <w:rPr/>
            </w:pPr>
            <w:r>
              <w:rPr/>
              <w:t>10</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0189">
              <w:r>
                <w:rPr>
                  <w:rStyle w:val="Hyperlink"/>
                </w:rPr>
                <w:t>Nebraska</w:t>
              </w:r>
            </w:hyperlink>
            <w:r>
              <w:rPr/>
              <w:t>………………………………………………………………………….….</w:t>
            </w:r>
          </w:p>
        </w:tc>
        <w:tc>
          <w:tcPr>
            <w:tcW w:w="828" w:type="dxa"/>
            <w:tcBorders/>
          </w:tcPr>
          <w:p>
            <w:pPr>
              <w:pStyle w:val="Normal"/>
              <w:jc w:val="end"/>
              <w:rPr/>
            </w:pPr>
            <w:r>
              <w:rPr/>
              <w:t>12</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0231">
              <w:r>
                <w:rPr>
                  <w:rStyle w:val="Hyperlink"/>
                </w:rPr>
                <w:t>Illinois</w:t>
              </w:r>
            </w:hyperlink>
            <w:r>
              <w:rPr/>
              <w:t>.………………………………………………………………………….…….</w:t>
            </w:r>
          </w:p>
        </w:tc>
        <w:tc>
          <w:tcPr>
            <w:tcW w:w="828" w:type="dxa"/>
            <w:tcBorders/>
          </w:tcPr>
          <w:p>
            <w:pPr>
              <w:pStyle w:val="Normal"/>
              <w:jc w:val="end"/>
              <w:rPr/>
            </w:pPr>
            <w:r>
              <w:rPr/>
              <w:t>14</w:t>
            </w:r>
          </w:p>
        </w:tc>
      </w:tr>
      <w:tr>
        <w:trPr>
          <w:trHeight w:val="315" w:hRule="atLeast"/>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rHeight w:val="270" w:hRule="atLeast"/>
        </w:trPr>
        <w:tc>
          <w:tcPr>
            <w:tcW w:w="8748" w:type="dxa"/>
            <w:tcBorders/>
          </w:tcPr>
          <w:p>
            <w:pPr>
              <w:pStyle w:val="Normal"/>
              <w:ind w:start="432" w:end="0"/>
              <w:rPr/>
            </w:pPr>
            <w:hyperlink w:anchor="_Hlk520700728">
              <w:r>
                <w:rPr>
                  <w:rStyle w:val="Hyperlink"/>
                </w:rPr>
                <w:t>Kansas</w:t>
              </w:r>
            </w:hyperlink>
            <w:r>
              <w:rPr/>
              <w:t>………………………………………………………………………...……...</w:t>
            </w:r>
          </w:p>
        </w:tc>
        <w:tc>
          <w:tcPr>
            <w:tcW w:w="828" w:type="dxa"/>
            <w:tcBorders/>
          </w:tcPr>
          <w:p>
            <w:pPr>
              <w:pStyle w:val="Normal"/>
              <w:jc w:val="end"/>
              <w:rPr/>
            </w:pPr>
            <w:r>
              <w:rPr/>
              <w:t>15</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0945">
              <w:r>
                <w:rPr>
                  <w:rStyle w:val="Hyperlink"/>
                </w:rPr>
                <w:t>Michigan</w:t>
              </w:r>
            </w:hyperlink>
            <w:r>
              <w:rPr/>
              <w:t>………………………………………………………………………….….</w:t>
            </w:r>
          </w:p>
        </w:tc>
        <w:tc>
          <w:tcPr>
            <w:tcW w:w="828" w:type="dxa"/>
            <w:tcBorders/>
          </w:tcPr>
          <w:p>
            <w:pPr>
              <w:pStyle w:val="Normal"/>
              <w:jc w:val="end"/>
              <w:rPr/>
            </w:pPr>
            <w:r>
              <w:rPr/>
              <w:t>17</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1016">
              <w:r>
                <w:rPr>
                  <w:rStyle w:val="Hyperlink"/>
                </w:rPr>
                <w:t>South Dakota</w:t>
              </w:r>
            </w:hyperlink>
            <w:r>
              <w:rPr/>
              <w:t>…………………………………………………………………………</w:t>
            </w:r>
          </w:p>
        </w:tc>
        <w:tc>
          <w:tcPr>
            <w:tcW w:w="828" w:type="dxa"/>
            <w:tcBorders/>
          </w:tcPr>
          <w:p>
            <w:pPr>
              <w:pStyle w:val="Normal"/>
              <w:jc w:val="end"/>
              <w:rPr/>
            </w:pPr>
            <w:r>
              <w:rPr/>
              <w:t>18</w:t>
            </w:r>
          </w:p>
        </w:tc>
      </w:tr>
      <w:tr>
        <w:trPr/>
        <w:tc>
          <w:tcPr>
            <w:tcW w:w="8748" w:type="dxa"/>
            <w:tcBorders/>
          </w:tcPr>
          <w:p>
            <w:pPr>
              <w:pStyle w:val="Normal"/>
              <w:snapToGrid w:val="false"/>
              <w:rPr>
                <w:b/>
              </w:rPr>
            </w:pPr>
            <w:r>
              <w:rPr>
                <w:b/>
              </w:rPr>
            </w:r>
          </w:p>
        </w:tc>
        <w:tc>
          <w:tcPr>
            <w:tcW w:w="828" w:type="dxa"/>
            <w:tcBorders/>
          </w:tcPr>
          <w:p>
            <w:pPr>
              <w:pStyle w:val="Normal"/>
              <w:snapToGrid w:val="false"/>
              <w:jc w:val="end"/>
              <w:rPr>
                <w:b/>
              </w:rPr>
            </w:pPr>
            <w:r>
              <w:rPr>
                <w:b/>
              </w:rPr>
            </w:r>
          </w:p>
        </w:tc>
      </w:tr>
      <w:tr>
        <w:trPr/>
        <w:tc>
          <w:tcPr>
            <w:tcW w:w="8748" w:type="dxa"/>
            <w:tcBorders/>
          </w:tcPr>
          <w:p>
            <w:pPr>
              <w:pStyle w:val="Normal"/>
              <w:rPr>
                <w:b/>
              </w:rPr>
            </w:pPr>
            <w:r>
              <w:rPr>
                <w:b/>
              </w:rPr>
              <w:t>Transwestern Pipeline Company</w:t>
            </w:r>
          </w:p>
        </w:tc>
        <w:tc>
          <w:tcPr>
            <w:tcW w:w="828" w:type="dxa"/>
            <w:tcBorders/>
          </w:tcPr>
          <w:p>
            <w:pPr>
              <w:pStyle w:val="Normal"/>
              <w:snapToGrid w:val="false"/>
              <w:jc w:val="end"/>
              <w:rPr>
                <w:b/>
              </w:rPr>
            </w:pPr>
            <w:r>
              <w:rPr>
                <w:b/>
              </w:rPr>
            </w:r>
          </w:p>
        </w:tc>
      </w:tr>
      <w:tr>
        <w:trPr/>
        <w:tc>
          <w:tcPr>
            <w:tcW w:w="8748" w:type="dxa"/>
            <w:tcBorders/>
          </w:tcPr>
          <w:p>
            <w:pPr>
              <w:pStyle w:val="Normal"/>
              <w:snapToGrid w:val="false"/>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1126">
              <w:r>
                <w:rPr>
                  <w:rStyle w:val="Hyperlink"/>
                </w:rPr>
                <w:t>Arizona</w:t>
              </w:r>
            </w:hyperlink>
            <w:r>
              <w:rPr/>
              <w:t xml:space="preserve"> ……………………………………………………………………………….</w:t>
            </w:r>
          </w:p>
        </w:tc>
        <w:tc>
          <w:tcPr>
            <w:tcW w:w="828" w:type="dxa"/>
            <w:tcBorders/>
          </w:tcPr>
          <w:p>
            <w:pPr>
              <w:pStyle w:val="Normal"/>
              <w:jc w:val="end"/>
              <w:rPr/>
            </w:pPr>
            <w:r>
              <w:rPr/>
              <w:t>20</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1305">
              <w:r>
                <w:rPr>
                  <w:rStyle w:val="Hyperlink"/>
                </w:rPr>
                <w:t>California</w:t>
              </w:r>
            </w:hyperlink>
            <w:r>
              <w:rPr/>
              <w:t xml:space="preserve"> …………………………………………………………………………….</w:t>
            </w:r>
          </w:p>
        </w:tc>
        <w:tc>
          <w:tcPr>
            <w:tcW w:w="828" w:type="dxa"/>
            <w:tcBorders/>
          </w:tcPr>
          <w:p>
            <w:pPr>
              <w:pStyle w:val="Normal"/>
              <w:jc w:val="end"/>
              <w:rPr/>
            </w:pPr>
            <w:r>
              <w:rPr/>
              <w:t>21</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1574">
              <w:r>
                <w:rPr>
                  <w:rStyle w:val="Hyperlink"/>
                </w:rPr>
                <w:t>New Mexico</w:t>
              </w:r>
            </w:hyperlink>
            <w:r>
              <w:rPr/>
              <w:t>………………………………………………………………………….</w:t>
            </w:r>
          </w:p>
        </w:tc>
        <w:tc>
          <w:tcPr>
            <w:tcW w:w="828" w:type="dxa"/>
            <w:tcBorders/>
          </w:tcPr>
          <w:p>
            <w:pPr>
              <w:pStyle w:val="Normal"/>
              <w:jc w:val="end"/>
              <w:rPr/>
            </w:pPr>
            <w:r>
              <w:rPr/>
              <w:t>23</w:t>
            </w:r>
          </w:p>
        </w:tc>
      </w:tr>
      <w:tr>
        <w:trPr/>
        <w:tc>
          <w:tcPr>
            <w:tcW w:w="8748" w:type="dxa"/>
            <w:tcBorders/>
          </w:tcPr>
          <w:p>
            <w:pPr>
              <w:pStyle w:val="Normal"/>
              <w:snapToGrid w:val="false"/>
              <w:rPr/>
            </w:pPr>
            <w:r>
              <w:rPr/>
            </w:r>
          </w:p>
        </w:tc>
        <w:tc>
          <w:tcPr>
            <w:tcW w:w="828" w:type="dxa"/>
            <w:tcBorders/>
          </w:tcPr>
          <w:p>
            <w:pPr>
              <w:pStyle w:val="Normal"/>
              <w:snapToGrid w:val="false"/>
              <w:jc w:val="end"/>
              <w:rPr/>
            </w:pPr>
            <w:r>
              <w:rPr/>
            </w:r>
          </w:p>
        </w:tc>
      </w:tr>
      <w:tr>
        <w:trPr/>
        <w:tc>
          <w:tcPr>
            <w:tcW w:w="8748" w:type="dxa"/>
            <w:tcBorders/>
          </w:tcPr>
          <w:p>
            <w:pPr>
              <w:pStyle w:val="Normal"/>
              <w:rPr>
                <w:b/>
              </w:rPr>
            </w:pPr>
            <w:r>
              <w:rPr>
                <w:b/>
              </w:rPr>
              <w:t>Florida Gas Transmission</w:t>
            </w:r>
          </w:p>
        </w:tc>
        <w:tc>
          <w:tcPr>
            <w:tcW w:w="828" w:type="dxa"/>
            <w:tcBorders/>
          </w:tcPr>
          <w:p>
            <w:pPr>
              <w:pStyle w:val="Normal"/>
              <w:snapToGrid w:val="false"/>
              <w:jc w:val="end"/>
              <w:rPr>
                <w:b/>
              </w:rPr>
            </w:pPr>
            <w:r>
              <w:rPr>
                <w:b/>
              </w:rPr>
            </w:r>
          </w:p>
        </w:tc>
      </w:tr>
      <w:tr>
        <w:trPr/>
        <w:tc>
          <w:tcPr>
            <w:tcW w:w="8748" w:type="dxa"/>
            <w:tcBorders/>
          </w:tcPr>
          <w:p>
            <w:pPr>
              <w:pStyle w:val="Normal"/>
              <w:snapToGrid w:val="false"/>
              <w:rPr/>
            </w:pPr>
            <w:r>
              <w:rPr/>
            </w:r>
          </w:p>
        </w:tc>
        <w:tc>
          <w:tcPr>
            <w:tcW w:w="828" w:type="dxa"/>
            <w:tcBorders/>
          </w:tcPr>
          <w:p>
            <w:pPr>
              <w:pStyle w:val="Normal"/>
              <w:snapToGrid w:val="false"/>
              <w:jc w:val="end"/>
              <w:rPr/>
            </w:pPr>
            <w:r>
              <w:rPr/>
            </w:r>
          </w:p>
        </w:tc>
      </w:tr>
      <w:tr>
        <w:trPr>
          <w:trHeight w:val="342" w:hRule="atLeast"/>
        </w:trPr>
        <w:tc>
          <w:tcPr>
            <w:tcW w:w="8748" w:type="dxa"/>
            <w:tcBorders/>
          </w:tcPr>
          <w:p>
            <w:pPr>
              <w:pStyle w:val="Normal"/>
              <w:ind w:start="432" w:end="0"/>
              <w:rPr/>
            </w:pPr>
            <w:hyperlink w:anchor="_Hlk520701643">
              <w:r>
                <w:rPr>
                  <w:rStyle w:val="Hyperlink"/>
                </w:rPr>
                <w:t>Florida</w:t>
              </w:r>
            </w:hyperlink>
            <w:r>
              <w:rPr/>
              <w:t xml:space="preserve"> …………………………………………………………………………….….</w:t>
            </w:r>
          </w:p>
        </w:tc>
        <w:tc>
          <w:tcPr>
            <w:tcW w:w="828" w:type="dxa"/>
            <w:tcBorders/>
          </w:tcPr>
          <w:p>
            <w:pPr>
              <w:pStyle w:val="Normal"/>
              <w:jc w:val="end"/>
              <w:rPr/>
            </w:pPr>
            <w:r>
              <w:rPr/>
              <w:t>25</w:t>
            </w:r>
          </w:p>
        </w:tc>
      </w:tr>
      <w:tr>
        <w:trPr/>
        <w:tc>
          <w:tcPr>
            <w:tcW w:w="8748" w:type="dxa"/>
            <w:tcBorders/>
          </w:tcPr>
          <w:p>
            <w:pPr>
              <w:pStyle w:val="Normal"/>
              <w:snapToGrid w:val="false"/>
              <w:rPr/>
            </w:pPr>
            <w:r>
              <w:rPr/>
            </w:r>
          </w:p>
        </w:tc>
        <w:tc>
          <w:tcPr>
            <w:tcW w:w="828" w:type="dxa"/>
            <w:tcBorders/>
          </w:tcPr>
          <w:p>
            <w:pPr>
              <w:pStyle w:val="Normal"/>
              <w:snapToGrid w:val="false"/>
              <w:jc w:val="end"/>
              <w:rPr/>
            </w:pPr>
            <w:r>
              <w:rPr/>
            </w:r>
          </w:p>
        </w:tc>
      </w:tr>
      <w:tr>
        <w:trPr/>
        <w:tc>
          <w:tcPr>
            <w:tcW w:w="8748" w:type="dxa"/>
            <w:tcBorders/>
          </w:tcPr>
          <w:p>
            <w:pPr>
              <w:pStyle w:val="Normal"/>
              <w:rPr>
                <w:b/>
              </w:rPr>
            </w:pPr>
            <w:r>
              <w:rPr>
                <w:b/>
              </w:rPr>
              <w:t>Field Area</w:t>
            </w:r>
          </w:p>
        </w:tc>
        <w:tc>
          <w:tcPr>
            <w:tcW w:w="828" w:type="dxa"/>
            <w:tcBorders/>
          </w:tcPr>
          <w:p>
            <w:pPr>
              <w:pStyle w:val="Normal"/>
              <w:snapToGrid w:val="false"/>
              <w:jc w:val="end"/>
              <w:rPr>
                <w:b/>
              </w:rPr>
            </w:pPr>
            <w:r>
              <w:rPr>
                <w:b/>
              </w:rPr>
            </w:r>
          </w:p>
        </w:tc>
      </w:tr>
      <w:tr>
        <w:trPr/>
        <w:tc>
          <w:tcPr>
            <w:tcW w:w="8748" w:type="dxa"/>
            <w:tcBorders/>
          </w:tcPr>
          <w:p>
            <w:pPr>
              <w:pStyle w:val="Normal"/>
              <w:snapToGrid w:val="false"/>
              <w:rPr/>
            </w:pPr>
            <w:r>
              <w:rPr/>
            </w:r>
          </w:p>
        </w:tc>
        <w:tc>
          <w:tcPr>
            <w:tcW w:w="828" w:type="dxa"/>
            <w:tcBorders/>
          </w:tcPr>
          <w:p>
            <w:pPr>
              <w:pStyle w:val="Normal"/>
              <w:snapToGrid w:val="false"/>
              <w:jc w:val="end"/>
              <w:rPr/>
            </w:pPr>
            <w:r>
              <w:rPr/>
            </w:r>
          </w:p>
        </w:tc>
      </w:tr>
      <w:tr>
        <w:trPr/>
        <w:tc>
          <w:tcPr>
            <w:tcW w:w="8748" w:type="dxa"/>
            <w:tcBorders/>
          </w:tcPr>
          <w:p>
            <w:pPr>
              <w:pStyle w:val="Normal"/>
              <w:ind w:start="432" w:end="0"/>
              <w:rPr/>
            </w:pPr>
            <w:hyperlink w:anchor="_Hlk520701704">
              <w:r>
                <w:rPr>
                  <w:rStyle w:val="Hyperlink"/>
                </w:rPr>
                <w:t>Oklahoma</w:t>
              </w:r>
            </w:hyperlink>
            <w:r>
              <w:rPr/>
              <w:t xml:space="preserve"> …………………………………………………………………………….</w:t>
            </w:r>
          </w:p>
        </w:tc>
        <w:tc>
          <w:tcPr>
            <w:tcW w:w="828" w:type="dxa"/>
            <w:tcBorders/>
          </w:tcPr>
          <w:p>
            <w:pPr>
              <w:pStyle w:val="Normal"/>
              <w:jc w:val="end"/>
              <w:rPr/>
            </w:pPr>
            <w:r>
              <w:rPr/>
              <w:t>27</w:t>
            </w:r>
          </w:p>
        </w:tc>
      </w:tr>
      <w:tr>
        <w:trPr/>
        <w:tc>
          <w:tcPr>
            <w:tcW w:w="8748" w:type="dxa"/>
            <w:tcBorders/>
          </w:tcPr>
          <w:p>
            <w:pPr>
              <w:pStyle w:val="Normal"/>
              <w:snapToGrid w:val="false"/>
              <w:ind w:start="432" w:end="0"/>
              <w:rPr/>
            </w:pPr>
            <w:r>
              <w:rPr/>
            </w:r>
          </w:p>
        </w:tc>
        <w:tc>
          <w:tcPr>
            <w:tcW w:w="828" w:type="dxa"/>
            <w:tcBorders/>
          </w:tcPr>
          <w:p>
            <w:pPr>
              <w:pStyle w:val="Normal"/>
              <w:snapToGrid w:val="false"/>
              <w:jc w:val="end"/>
              <w:rPr/>
            </w:pPr>
            <w:r>
              <w:rPr/>
            </w:r>
          </w:p>
        </w:tc>
      </w:tr>
      <w:tr>
        <w:trPr>
          <w:trHeight w:val="315" w:hRule="atLeast"/>
        </w:trPr>
        <w:tc>
          <w:tcPr>
            <w:tcW w:w="8748" w:type="dxa"/>
            <w:tcBorders/>
          </w:tcPr>
          <w:p>
            <w:pPr>
              <w:pStyle w:val="Normal"/>
              <w:ind w:start="432" w:end="0"/>
              <w:rPr/>
            </w:pPr>
            <w:hyperlink w:anchor="_Hlk520701771">
              <w:r>
                <w:rPr>
                  <w:rStyle w:val="Hyperlink"/>
                </w:rPr>
                <w:t>Texas</w:t>
              </w:r>
            </w:hyperlink>
            <w:r>
              <w:rPr/>
              <w:t xml:space="preserve"> …………………………………………………………………………………</w:t>
            </w:r>
          </w:p>
        </w:tc>
        <w:tc>
          <w:tcPr>
            <w:tcW w:w="828" w:type="dxa"/>
            <w:tcBorders/>
          </w:tcPr>
          <w:p>
            <w:pPr>
              <w:pStyle w:val="Normal"/>
              <w:jc w:val="end"/>
              <w:rPr/>
            </w:pPr>
            <w:r>
              <w:rPr/>
              <w:t>28</w:t>
            </w:r>
          </w:p>
        </w:tc>
      </w:tr>
    </w:tbl>
    <w:p>
      <w:pPr>
        <w:pStyle w:val="Normal"/>
        <w:rPr/>
      </w:pPr>
      <w:r>
        <w:rPr/>
      </w:r>
      <w:r>
        <w:br w:type="page"/>
      </w:r>
    </w:p>
    <w:p>
      <w:pPr>
        <w:pStyle w:val="Normal"/>
        <w:rPr/>
      </w:pPr>
      <w:r>
        <w:rPr/>
      </w:r>
    </w:p>
    <w:p>
      <w:pPr>
        <w:pStyle w:val="Normal"/>
        <w:jc w:val="center"/>
        <w:rPr>
          <w:b/>
          <w:i/>
          <w:i/>
          <w:sz w:val="52"/>
          <w:u w:val="single"/>
        </w:rPr>
      </w:pPr>
      <w:r>
        <w:rPr>
          <w:b/>
          <w:i/>
          <w:sz w:val="52"/>
          <w:u w:val="single"/>
        </w:rPr>
      </w:r>
    </w:p>
    <w:p>
      <w:pPr>
        <w:pStyle w:val="Normal"/>
        <w:jc w:val="center"/>
        <w:rPr>
          <w:b/>
          <w:sz w:val="36"/>
          <w:u w:val="single"/>
        </w:rPr>
      </w:pPr>
      <w:bookmarkStart w:id="4" w:name="_Hlk520701839"/>
      <w:r>
        <w:rPr>
          <w:b/>
          <w:sz w:val="36"/>
          <w:u w:val="single"/>
        </w:rPr>
        <w:t xml:space="preserve">Overview </w:t>
      </w:r>
      <w:bookmarkEnd w:id="4"/>
      <w:r>
        <w:rPr>
          <w:b/>
          <w:sz w:val="36"/>
          <w:u w:val="single"/>
        </w:rPr>
        <w:t xml:space="preserve"> </w:t>
      </w:r>
    </w:p>
    <w:p>
      <w:pPr>
        <w:pStyle w:val="Normal"/>
        <w:jc w:val="center"/>
        <w:rPr>
          <w:b/>
          <w:i/>
          <w:i/>
          <w:sz w:val="36"/>
          <w:u w:val="single"/>
        </w:rPr>
      </w:pPr>
      <w:r>
        <w:rPr>
          <w:b/>
          <w:i/>
          <w:sz w:val="36"/>
          <w:u w:val="single"/>
        </w:rPr>
      </w:r>
    </w:p>
    <w:p>
      <w:pPr>
        <w:pStyle w:val="Normal"/>
        <w:jc w:val="center"/>
        <w:rPr>
          <w:b/>
          <w:i/>
          <w:i/>
          <w:sz w:val="36"/>
          <w:u w:val="single"/>
        </w:rPr>
      </w:pPr>
      <w:r>
        <w:rPr>
          <w:b/>
          <w:i/>
          <w:sz w:val="36"/>
          <w:u w:val="single"/>
        </w:rPr>
        <w:t>ETS' interest and position in state unbundling proceedings</w:t>
      </w:r>
    </w:p>
    <w:p>
      <w:pPr>
        <w:pStyle w:val="Normal"/>
        <w:jc w:val="center"/>
        <w:rPr>
          <w:b/>
          <w:i/>
          <w:i/>
          <w:sz w:val="36"/>
          <w:u w:val="single"/>
        </w:rPr>
      </w:pPr>
      <w:r>
        <w:rPr>
          <w:b/>
          <w:i/>
          <w:sz w:val="36"/>
          <w:u w:val="single"/>
        </w:rPr>
      </w:r>
    </w:p>
    <w:p>
      <w:pPr>
        <w:pStyle w:val="Normal"/>
        <w:jc w:val="center"/>
        <w:rPr>
          <w:sz w:val="52"/>
        </w:rPr>
      </w:pPr>
      <w:hyperlink w:anchor="_Hlk520700310">
        <w:r>
          <w:rPr>
            <w:rStyle w:val="Hyperlink"/>
          </w:rPr>
          <w:t>Table of Contents</w:t>
        </w:r>
      </w:hyperlink>
    </w:p>
    <w:p>
      <w:pPr>
        <w:pStyle w:val="Normal"/>
        <w:jc w:val="center"/>
        <w:rPr>
          <w:sz w:val="52"/>
        </w:rPr>
      </w:pPr>
      <w:r>
        <w:rPr>
          <w:sz w:val="52"/>
        </w:rPr>
      </w:r>
    </w:p>
    <w:p>
      <w:pPr>
        <w:pStyle w:val="Normal"/>
        <w:rPr/>
      </w:pPr>
      <w:r>
        <w:rPr/>
        <w:t xml:space="preserve">Large industrial natural gas end-users in most states have been able to buy and transport their own natural gas supplies for many years.  In many states efforts have been made to extend the economic benefits of this privilege to smaller-volume commercial and residential customers.  </w:t>
      </w:r>
    </w:p>
    <w:p>
      <w:pPr>
        <w:pStyle w:val="Normal"/>
        <w:rPr/>
      </w:pPr>
      <w:r>
        <w:rPr/>
      </w:r>
    </w:p>
    <w:p>
      <w:pPr>
        <w:pStyle w:val="Normal"/>
        <w:rPr/>
      </w:pPr>
      <w:r>
        <w:rPr/>
        <w:t>ETS has participated actively in state natural gas industry unbundling activities in the Northern Natural Gas and Transwestern service areas.  In various proceedings ETS has expressed written and oral concern that as unbundling of customers' gas services progresses and more and more parties begin providing these services, planning for adequate pipeline capacity to meet growth could become fragmented.   ETS has suggested that some party, especially in a transition period, needs to ensure that enough firm pipeline capacity is in place and is being planned to ensure present and future firm natural gas transportation requirements can be met.  LDCs, ETS suggested, seemed to be in the best position to do this though others could also provide such services.  ETS further stated that if the LDCs incur incremental costs to ensure capacity requirements they should be allowed full recovery of the costs of providing these services.</w:t>
      </w:r>
    </w:p>
    <w:p>
      <w:pPr>
        <w:pStyle w:val="Normal"/>
        <w:rPr/>
      </w:pPr>
      <w:r>
        <w:rPr/>
      </w:r>
    </w:p>
    <w:p>
      <w:pPr>
        <w:pStyle w:val="Normal"/>
        <w:rPr/>
      </w:pPr>
      <w:r>
        <w:rPr/>
        <w:t xml:space="preserve">The following is a state-by-state summary of the status and history of smaller-volume end-user natural gas service unbundling activities in ETS' service areas.  </w:t>
      </w:r>
    </w:p>
    <w:p>
      <w:pPr>
        <w:pStyle w:val="Normal"/>
        <w:rPr/>
      </w:pPr>
      <w:r>
        <w:rPr/>
      </w:r>
    </w:p>
    <w:p>
      <w:pPr>
        <w:pStyle w:val="Normal"/>
        <w:rPr>
          <w:b/>
        </w:rPr>
      </w:pPr>
      <w:r>
        <w:rPr>
          <w:b/>
        </w:rPr>
        <w:t>Note:  New information since the last report is in bold font.</w:t>
      </w:r>
    </w:p>
    <w:p>
      <w:pPr>
        <w:pStyle w:val="Normal"/>
        <w:rPr>
          <w:b/>
        </w:rPr>
      </w:pPr>
      <w:r>
        <w:rPr>
          <w:b/>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0"/>
        </w:rPr>
      </w:pPr>
      <w:r>
        <w:rPr>
          <w:b/>
          <w:sz w:val="40"/>
        </w:rPr>
        <w:t>Northern Natural Gas Company</w:t>
      </w:r>
    </w:p>
    <w:p>
      <w:pPr>
        <w:pStyle w:val="Normal"/>
        <w:jc w:val="center"/>
        <w:rPr>
          <w:b/>
          <w:sz w:val="40"/>
        </w:rPr>
      </w:pPr>
      <w:r>
        <w:rPr>
          <w:b/>
          <w:sz w:val="40"/>
        </w:rPr>
      </w:r>
    </w:p>
    <w:p>
      <w:pPr>
        <w:pStyle w:val="Normal"/>
        <w:jc w:val="center"/>
        <w:rPr>
          <w:b/>
          <w:sz w:val="40"/>
        </w:rPr>
      </w:pPr>
      <w:r>
        <w:rPr>
          <w:b/>
          <w:sz w:val="40"/>
        </w:rPr>
        <w:t>System</w:t>
      </w:r>
    </w:p>
    <w:p>
      <w:pPr>
        <w:pStyle w:val="Normal"/>
        <w:jc w:val="center"/>
        <w:rPr>
          <w:b/>
          <w:sz w:val="40"/>
        </w:rPr>
      </w:pPr>
      <w:r>
        <w:rPr>
          <w:b/>
          <w:sz w:val="40"/>
        </w:rPr>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r>
      <w:r>
        <w:br w:type="page"/>
      </w:r>
    </w:p>
    <w:p>
      <w:pPr>
        <w:pStyle w:val="Normal"/>
        <w:jc w:val="center"/>
        <w:rPr>
          <w:b/>
          <w:sz w:val="40"/>
          <w:u w:val="single"/>
        </w:rPr>
      </w:pPr>
      <w:bookmarkStart w:id="5" w:name="_Hlk520699956"/>
      <w:bookmarkStart w:id="6" w:name="_Hlk520699569"/>
      <w:r>
        <w:rPr>
          <w:b/>
          <w:sz w:val="40"/>
          <w:u w:val="single"/>
        </w:rPr>
        <w:t>I</w:t>
      </w:r>
      <w:bookmarkEnd w:id="6"/>
      <w:r>
        <w:rPr>
          <w:b/>
          <w:sz w:val="40"/>
          <w:u w:val="single"/>
        </w:rPr>
        <w:t>owa</w:t>
      </w:r>
      <w:bookmarkEnd w:id="5"/>
    </w:p>
    <w:p>
      <w:pPr>
        <w:pStyle w:val="Normal"/>
        <w:jc w:val="center"/>
        <w:rPr>
          <w:b/>
          <w:sz w:val="40"/>
          <w:u w:val="single"/>
        </w:rPr>
      </w:pPr>
      <w:r>
        <w:rPr>
          <w:b/>
          <w:sz w:val="40"/>
          <w:u w:val="single"/>
        </w:rPr>
      </w:r>
    </w:p>
    <w:p>
      <w:pPr>
        <w:pStyle w:val="Normal"/>
        <w:jc w:val="center"/>
        <w:rPr/>
      </w:pPr>
      <w:hyperlink w:anchor="_Hlk520700310">
        <w:r>
          <w:rPr>
            <w:rStyle w:val="Hyperlink"/>
          </w:rPr>
          <w:t>Table of Contents</w:t>
        </w:r>
      </w:hyperlink>
    </w:p>
    <w:p>
      <w:pPr>
        <w:pStyle w:val="Normal"/>
        <w:rPr/>
      </w:pPr>
      <w:r>
        <w:rPr/>
      </w:r>
    </w:p>
    <w:p>
      <w:pPr>
        <w:pStyle w:val="Normal"/>
        <w:rPr/>
      </w:pPr>
      <w:r>
        <w:rPr/>
      </w:r>
    </w:p>
    <w:p>
      <w:pPr>
        <w:pStyle w:val="Normal"/>
        <w:rPr>
          <w:b/>
          <w:i/>
          <w:i/>
        </w:rPr>
      </w:pPr>
      <w:r>
        <w:rPr>
          <w:b/>
          <w:i/>
        </w:rPr>
        <w:t>Most Recent Activity</w:t>
      </w:r>
    </w:p>
    <w:p>
      <w:pPr>
        <w:pStyle w:val="Normal"/>
        <w:rPr>
          <w:b/>
          <w:i/>
          <w:i/>
        </w:rPr>
      </w:pPr>
      <w:r>
        <w:rPr>
          <w:b/>
          <w:i/>
        </w:rPr>
      </w:r>
    </w:p>
    <w:p>
      <w:pPr>
        <w:pStyle w:val="Normal"/>
        <w:rPr>
          <w:b/>
        </w:rPr>
      </w:pPr>
      <w:r>
        <w:rPr>
          <w:b/>
        </w:rPr>
        <w:t xml:space="preserve">In August 2000 the Iowa Utilities Board ordered Iowa LDCs to file draft tariffs that would implement natural gas transportation to small volume end-users.  The Board suggested LDCs use an existing school district transportation pilot program, the Iowa Joint Utilities Management Program (IJUMP), as a model.  The draft tariffs were filed in early October.  In its filing, MidAm suggested that the IUB abandon this effort since electricity restructuring appears to be a dead issue in Iowa for some time to come. The company said marketers would be less likely to come to an open Iowa natural gas market if they can go to other jurisdictions that offer both open natural gas and electric markets.  </w:t>
      </w:r>
    </w:p>
    <w:p>
      <w:pPr>
        <w:pStyle w:val="Normal"/>
        <w:rPr>
          <w:b/>
        </w:rPr>
      </w:pPr>
      <w:r>
        <w:rPr>
          <w:b/>
        </w:rPr>
      </w:r>
    </w:p>
    <w:p>
      <w:pPr>
        <w:pStyle w:val="Normal"/>
        <w:rPr>
          <w:b/>
        </w:rPr>
      </w:pPr>
      <w:r>
        <w:rPr>
          <w:b/>
        </w:rPr>
        <w:t>The Board invited comments on the LDC filings.  Final comments were due in November 2000.  There has been no further action.</w:t>
      </w:r>
    </w:p>
    <w:p>
      <w:pPr>
        <w:pStyle w:val="Normal"/>
        <w:rPr>
          <w:b/>
        </w:rPr>
      </w:pPr>
      <w:r>
        <w:rPr>
          <w:b/>
        </w:rPr>
      </w:r>
    </w:p>
    <w:p>
      <w:pPr>
        <w:pStyle w:val="Normal"/>
        <w:rPr>
          <w:b/>
          <w:i/>
          <w:i/>
        </w:rPr>
      </w:pPr>
      <w:r>
        <w:rPr>
          <w:b/>
          <w:i/>
        </w:rPr>
        <w:t>History</w:t>
      </w:r>
    </w:p>
    <w:p>
      <w:pPr>
        <w:pStyle w:val="Normal"/>
        <w:rPr>
          <w:b/>
          <w:i/>
          <w:i/>
        </w:rPr>
      </w:pPr>
      <w:r>
        <w:rPr>
          <w:b/>
          <w:i/>
        </w:rPr>
      </w:r>
    </w:p>
    <w:p>
      <w:pPr>
        <w:pStyle w:val="Normal"/>
        <w:rPr/>
      </w:pPr>
      <w:r>
        <w:rPr/>
        <w:t>Iowa opened all retail markets to transportation service in 1986 through the adoption of administrative rules (199 IAC 19.13) in Docket No. RMU-86-11.  Although transportation service has been highly successful for large volume customers, it has brought no real choices for small volume customers.</w:t>
      </w:r>
    </w:p>
    <w:p>
      <w:pPr>
        <w:pStyle w:val="Normal"/>
        <w:rPr/>
      </w:pPr>
      <w:r>
        <w:rPr/>
      </w:r>
    </w:p>
    <w:p>
      <w:pPr>
        <w:pStyle w:val="Normal"/>
        <w:rPr/>
      </w:pPr>
      <w:r>
        <w:rPr/>
        <w:t>Small-volume transportation pilots for public school systems on both MidAm and Alliant Utilities systems were approved beginning with the 1997-98 heating season.  Peoples Natural Gas later joined the program.  These pilots, conducted through the Iowa Association of School Boards are known as the Iowa Joint Utilities Management Program (IJUMP).</w:t>
      </w:r>
    </w:p>
    <w:p>
      <w:pPr>
        <w:pStyle w:val="Normal"/>
        <w:rPr/>
      </w:pPr>
      <w:r>
        <w:rPr/>
      </w:r>
    </w:p>
    <w:p>
      <w:pPr>
        <w:pStyle w:val="Normal"/>
        <w:rPr/>
      </w:pPr>
      <w:r>
        <w:rPr/>
        <w:t xml:space="preserve">The IUB in October 1997 adopted rules encouraging small volume customer natural gas transportation service (Docket No. RMU-96-12).  LDCs were given until Feb. 1, 1999 to file new tariffs to implement the rule changes, and the IUB set a goal of reviewing the new tariffs and making them effective by April 1 1999.   However, the Board gave LDCs the </w:t>
      </w:r>
      <w:r>
        <w:rPr>
          <w:i/>
        </w:rPr>
        <w:t>option</w:t>
      </w:r>
      <w:r>
        <w:rPr/>
        <w:t xml:space="preserve"> of submitting their own unbundling plans tailored to their own systems.  All LDCs elected to take this option.  Specific company proposals were as follows:</w:t>
      </w:r>
    </w:p>
    <w:p>
      <w:pPr>
        <w:pStyle w:val="Normal"/>
        <w:ind w:start="720" w:end="0"/>
        <w:rPr/>
      </w:pPr>
      <w:r>
        <w:rPr/>
      </w:r>
    </w:p>
    <w:p>
      <w:pPr>
        <w:pStyle w:val="Normal"/>
        <w:ind w:start="720" w:end="0"/>
        <w:rPr/>
      </w:pPr>
      <w:r>
        <w:rPr>
          <w:b/>
          <w:u w:val="single"/>
        </w:rPr>
        <w:t>Peoples Natural Gas</w:t>
      </w:r>
      <w:r>
        <w:rPr/>
        <w:t>--citing a lack of interest in small customer choice--initially filed a plan (Docket No. TF-98-265) to offer competitive-like services in lieu of actual unbundling. Service options included under this plan were (1) existing sales service, (2) fixed price, and (3) guaranteed weather plan. The Board rejected this filing and ordered People's to file a plan that complied with the rules.  Peoples' revised plan, filed as Docket No. SVG-98-5, called for an unbundling program to be phased in over three years, beginning in November of 1999 in northeast Iowa with about 10% of its total customers.  The plan called for expanding to 50% in 2000 and to all customers in 2001.</w:t>
      </w:r>
    </w:p>
    <w:p>
      <w:pPr>
        <w:pStyle w:val="Normal"/>
        <w:ind w:start="720" w:end="0"/>
        <w:rPr/>
      </w:pPr>
      <w:r>
        <w:rPr/>
      </w:r>
    </w:p>
    <w:p>
      <w:pPr>
        <w:pStyle w:val="Normal"/>
        <w:ind w:start="720" w:end="0"/>
        <w:rPr/>
      </w:pPr>
      <w:r>
        <w:rPr>
          <w:b/>
          <w:u w:val="single"/>
        </w:rPr>
        <w:t>MidAmerican Energy</w:t>
      </w:r>
      <w:r>
        <w:rPr/>
        <w:t xml:space="preserve"> (Docket No. SVG-98-1) proposed to discontinue sales service and establish a new monthly-metered transportation service that would become available in May 2000. </w:t>
      </w:r>
    </w:p>
    <w:p>
      <w:pPr>
        <w:pStyle w:val="Normal"/>
        <w:ind w:start="720" w:end="0"/>
        <w:rPr/>
      </w:pPr>
      <w:r>
        <w:rPr/>
      </w:r>
    </w:p>
    <w:p>
      <w:pPr>
        <w:pStyle w:val="Normal"/>
        <w:ind w:start="720" w:end="0"/>
        <w:rPr/>
      </w:pPr>
      <w:r>
        <w:rPr>
          <w:b/>
          <w:u w:val="single"/>
        </w:rPr>
        <w:t>Alliant Utilities</w:t>
      </w:r>
      <w:r>
        <w:rPr/>
        <w:t xml:space="preserve"> in SVG-98-2 (IES Utilities) and SVG-98-3 (Interstate Power) promised to make an on-time filing in compliance with the rules but asked the IUB to schedule workshops to study gas unbundling issues and then consider adopting new rules based on the workshops' outcome. </w:t>
      </w:r>
    </w:p>
    <w:p>
      <w:pPr>
        <w:pStyle w:val="Normal"/>
        <w:ind w:start="720" w:end="0"/>
        <w:rPr>
          <w:b/>
          <w:u w:val="single"/>
        </w:rPr>
      </w:pPr>
      <w:r>
        <w:rPr>
          <w:b/>
          <w:u w:val="single"/>
        </w:rPr>
      </w:r>
    </w:p>
    <w:p>
      <w:pPr>
        <w:pStyle w:val="Normal"/>
        <w:rPr/>
      </w:pPr>
      <w:r>
        <w:rPr/>
        <w:t xml:space="preserve">In December 1998, the Board granted Alliant's workshop request and issued an order (Docket No. NOI-98-3) to implement it. Issues included the following: customer education, standards of conduct, marketer certification, market roles, consumer protection, price setting, public benefits, implementation, and transition costs. Workshops were held on end-state, marketer requirements, operational, and transition issues, which included pipeline capacity. </w:t>
      </w:r>
    </w:p>
    <w:p>
      <w:pPr>
        <w:pStyle w:val="Normal"/>
        <w:rPr>
          <w:sz w:val="18"/>
        </w:rPr>
      </w:pPr>
      <w:r>
        <w:rPr>
          <w:sz w:val="18"/>
        </w:rPr>
      </w:r>
    </w:p>
    <w:p>
      <w:pPr>
        <w:pStyle w:val="Normal"/>
        <w:rPr/>
      </w:pPr>
      <w:r>
        <w:rPr/>
        <w:t>During the workshops, MidAm, Utilicorp and Alliant agreed with Northern that LDCs are in the best position to monitor pipeline capacity requirements.  MidAm did not, however, feel that LDCs should hold backup capacity.</w:t>
      </w:r>
    </w:p>
    <w:p>
      <w:pPr>
        <w:pStyle w:val="Normal"/>
        <w:jc w:val="both"/>
        <w:rPr>
          <w:b/>
          <w:u w:val="single"/>
        </w:rPr>
      </w:pPr>
      <w:r>
        <w:rPr>
          <w:b/>
          <w:u w:val="single"/>
        </w:rPr>
      </w:r>
    </w:p>
    <w:p>
      <w:pPr>
        <w:pStyle w:val="Normal"/>
        <w:rPr/>
      </w:pPr>
      <w:r>
        <w:rPr/>
        <w:t>When the workshops concluded, IUB staff developed an issue matrix that summarized points of agreement and disagreement reached by interested parties.  The following points of apparent agreement appeared to fully address Northern's concerns as summarized in the overview (page 2) of this report:</w:t>
      </w:r>
    </w:p>
    <w:p>
      <w:pPr>
        <w:pStyle w:val="Normal"/>
        <w:rPr/>
      </w:pPr>
      <w:r>
        <w:rPr/>
      </w:r>
    </w:p>
    <w:p>
      <w:pPr>
        <w:pStyle w:val="Normal"/>
        <w:numPr>
          <w:ilvl w:val="0"/>
          <w:numId w:val="2"/>
        </w:numPr>
        <w:tabs>
          <w:tab w:val="clear" w:pos="720"/>
          <w:tab w:val="left" w:pos="360" w:leader="none"/>
        </w:tabs>
        <w:rPr/>
      </w:pPr>
      <w:r>
        <w:rPr/>
        <w:t xml:space="preserve">LDCs would continue to provide market growth planning and contract with the pipeline for necessary cost-effective capacity until the market demonstrates other contracting parties are ready to assume these responsibilities. </w:t>
      </w:r>
    </w:p>
    <w:p>
      <w:pPr>
        <w:pStyle w:val="Normal"/>
        <w:numPr>
          <w:ilvl w:val="0"/>
          <w:numId w:val="0"/>
        </w:numPr>
        <w:ind w:hanging="0" w:start="720" w:end="0"/>
        <w:rPr/>
      </w:pPr>
      <w:r>
        <w:rPr/>
      </w:r>
    </w:p>
    <w:p>
      <w:pPr>
        <w:pStyle w:val="Normal"/>
        <w:numPr>
          <w:ilvl w:val="0"/>
          <w:numId w:val="2"/>
        </w:numPr>
        <w:tabs>
          <w:tab w:val="clear" w:pos="720"/>
          <w:tab w:val="left" w:pos="360" w:leader="none"/>
        </w:tabs>
        <w:rPr/>
      </w:pPr>
      <w:r>
        <w:rPr/>
        <w:t>A planning process should be established and LDCs fully compensated for providing these planning services -- including cost recovery for any pipeline capacity the LDC may hold to provide these planning services.</w:t>
      </w:r>
    </w:p>
    <w:p>
      <w:pPr>
        <w:pStyle w:val="Normal"/>
        <w:numPr>
          <w:ilvl w:val="0"/>
          <w:numId w:val="0"/>
        </w:numPr>
        <w:ind w:hanging="0" w:start="720" w:end="0"/>
        <w:rPr/>
      </w:pPr>
      <w:r>
        <w:rPr/>
      </w:r>
    </w:p>
    <w:p>
      <w:pPr>
        <w:pStyle w:val="Normal"/>
        <w:numPr>
          <w:ilvl w:val="0"/>
          <w:numId w:val="2"/>
        </w:numPr>
        <w:tabs>
          <w:tab w:val="clear" w:pos="720"/>
          <w:tab w:val="left" w:pos="360" w:leader="none"/>
        </w:tabs>
        <w:rPr/>
      </w:pPr>
      <w:r>
        <w:rPr/>
        <w:t>The LDC would be the planning and system control entity as long as the LDC isn't expected to hold capacity as a backstop on day-to-day basis.</w:t>
      </w:r>
    </w:p>
    <w:p>
      <w:pPr>
        <w:pStyle w:val="Normal"/>
        <w:rPr/>
      </w:pPr>
      <w:r>
        <w:rPr/>
      </w:r>
    </w:p>
    <w:p>
      <w:pPr>
        <w:pStyle w:val="Normal"/>
        <w:rPr/>
      </w:pPr>
      <w:r>
        <w:rPr/>
        <w:t xml:space="preserve">Follow-up comments and reply comments on the issue matrix and gas unbundling in general were submitted by many of the workshop parties.  MidAmerican Energy, Alliant Utilities and UtiliCorp urged the Board to effectively close all of the IUB's gas unbundling proceedings and join in developing gas industry legislation to be tied in to electricity industry restructuring bills that were to be further considered by the 2000 Iowa Legislature.  A major reason for this suggestion was the Office of Consumer Advocate's (OCA) position that Iowa law requires the LDCs to maintain a merchant function and that this requirement cannot be administratively over-ridden by the IUB.  </w:t>
      </w:r>
    </w:p>
    <w:p>
      <w:pPr>
        <w:pStyle w:val="Normal"/>
        <w:rPr/>
      </w:pPr>
      <w:r>
        <w:rPr/>
      </w:r>
    </w:p>
    <w:p>
      <w:pPr>
        <w:pStyle w:val="Normal"/>
        <w:rPr>
          <w:color w:val="FF0000"/>
        </w:rPr>
      </w:pPr>
      <w:r>
        <w:rPr>
          <w:color w:val="FF0000"/>
        </w:rPr>
      </w:r>
    </w:p>
    <w:p>
      <w:pPr>
        <w:pStyle w:val="Normal"/>
        <w:rPr>
          <w:b/>
          <w:u w:val="single"/>
        </w:rPr>
      </w:pPr>
      <w:r>
        <w:rPr/>
        <w:t>In March 2000 the IUB found that LDCs' SVG plans, which were the basis of the NOI and the SFG workshops, were not satisfactory and closed all of those dockets.  The Board then issued its August 2000 tariff filing order as described above.</w:t>
      </w:r>
    </w:p>
    <w:p>
      <w:pPr>
        <w:pStyle w:val="Normal"/>
        <w:rPr>
          <w:b/>
          <w:u w:val="single"/>
        </w:rPr>
      </w:pPr>
      <w:r>
        <w:rPr>
          <w:b/>
          <w:u w:val="single"/>
        </w:rPr>
      </w:r>
    </w:p>
    <w:p>
      <w:pPr>
        <w:pStyle w:val="Normal"/>
        <w:rPr/>
      </w:pPr>
      <w:r>
        <w:rPr/>
      </w:r>
      <w:r>
        <w:br w:type="page"/>
      </w:r>
    </w:p>
    <w:p>
      <w:pPr>
        <w:pStyle w:val="Normal"/>
        <w:jc w:val="center"/>
        <w:rPr>
          <w:b/>
          <w:sz w:val="40"/>
          <w:u w:val="single"/>
        </w:rPr>
      </w:pPr>
      <w:bookmarkStart w:id="7" w:name="_Hlk520700035"/>
      <w:r>
        <w:rPr>
          <w:b/>
          <w:sz w:val="40"/>
          <w:u w:val="single"/>
        </w:rPr>
        <w:t>Minnesota</w:t>
      </w:r>
      <w:bookmarkEnd w:id="7"/>
    </w:p>
    <w:p>
      <w:pPr>
        <w:pStyle w:val="Normal"/>
        <w:jc w:val="center"/>
        <w:rPr>
          <w:b/>
          <w:sz w:val="40"/>
          <w:u w:val="single"/>
        </w:rPr>
      </w:pPr>
      <w:r>
        <w:rPr>
          <w:b/>
          <w:sz w:val="40"/>
          <w:u w:val="single"/>
        </w:rPr>
      </w:r>
    </w:p>
    <w:p>
      <w:pPr>
        <w:pStyle w:val="Normal"/>
        <w:jc w:val="center"/>
        <w:rPr>
          <w:b/>
          <w:sz w:val="40"/>
          <w:u w:val="single"/>
        </w:rPr>
      </w:pPr>
      <w:hyperlink w:anchor="_Hlk520700310">
        <w:r>
          <w:rPr>
            <w:rStyle w:val="Hyperlink"/>
          </w:rPr>
          <w:t>Table of Contents</w:t>
        </w:r>
      </w:hyperlink>
    </w:p>
    <w:p>
      <w:pPr>
        <w:pStyle w:val="Normal"/>
        <w:rPr>
          <w:b/>
          <w:sz w:val="40"/>
          <w:u w:val="single"/>
        </w:rPr>
      </w:pPr>
      <w:r>
        <w:rPr>
          <w:b/>
          <w:sz w:val="40"/>
          <w:u w:val="single"/>
        </w:rPr>
      </w:r>
    </w:p>
    <w:p>
      <w:pPr>
        <w:pStyle w:val="Normal"/>
        <w:rPr>
          <w:b/>
          <w:u w:val="single"/>
        </w:rPr>
      </w:pPr>
      <w:r>
        <w:rPr>
          <w:b/>
          <w:u w:val="single"/>
        </w:rPr>
      </w:r>
    </w:p>
    <w:p>
      <w:pPr>
        <w:pStyle w:val="Normal"/>
        <w:rPr>
          <w:b/>
          <w:i/>
          <w:i/>
        </w:rPr>
      </w:pPr>
      <w:r>
        <w:rPr>
          <w:b/>
          <w:i/>
        </w:rPr>
        <w:t>Most Recent Activity</w:t>
      </w:r>
    </w:p>
    <w:p>
      <w:pPr>
        <w:pStyle w:val="Normal"/>
        <w:rPr>
          <w:b/>
          <w:i/>
          <w:i/>
        </w:rPr>
      </w:pPr>
      <w:r>
        <w:rPr>
          <w:b/>
          <w:i/>
        </w:rPr>
      </w:r>
    </w:p>
    <w:p>
      <w:pPr>
        <w:pStyle w:val="Normal"/>
        <w:rPr/>
      </w:pPr>
      <w:r>
        <w:rPr/>
        <w:t>In May 1999 the Minnesota Public Utilities Commission (PUC) initiated a new docket, (E,G0999/CI-99-687) to investigate issues of unbundling, retail choice and restructuring in the gas and electric utility industries.  The Commission's order directed the Department of Public Service, which later became the Department of Commerce (DOC), to work with stakeholders to develop a statewide, comprehensive program for gas and electric utility unbundling to be presented to the 2001 Minnesota Legislature.</w:t>
      </w:r>
    </w:p>
    <w:p>
      <w:pPr>
        <w:pStyle w:val="Normal"/>
        <w:rPr/>
      </w:pPr>
      <w:r>
        <w:rPr/>
      </w:r>
    </w:p>
    <w:p>
      <w:pPr>
        <w:pStyle w:val="Normal"/>
        <w:rPr>
          <w:b/>
        </w:rPr>
      </w:pPr>
      <w:r>
        <w:rPr>
          <w:b/>
        </w:rPr>
        <w:t xml:space="preserve">The DOC opened its own docket, E,G999/DI-99-1073, to carry out the PUC order by forming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NNG participated in these proceedings and submitted comments to the reliability work group at its final meeting.  The work groups concluded in November 1999 and staff began developing recommendations to be presented to the DOC commissioner. </w:t>
      </w:r>
    </w:p>
    <w:p>
      <w:pPr>
        <w:pStyle w:val="Normal"/>
        <w:rPr>
          <w:b/>
        </w:rPr>
      </w:pPr>
      <w:r>
        <w:rPr>
          <w:b/>
        </w:rPr>
      </w:r>
    </w:p>
    <w:p>
      <w:pPr>
        <w:pStyle w:val="Normal"/>
        <w:rPr>
          <w:b/>
        </w:rPr>
      </w:pPr>
      <w:r>
        <w:rPr>
          <w:b/>
        </w:rPr>
        <w:t>By September 2000 the DOC staff had concluded that restructuring was not in the public interest and announced instead a new electricity reliability plan called "Keeping the Lights On."  The four main components of the plan were as follows: (1) establishing a statewide energy resource plan and streamlining the approval process for generation and transmission, (2) increasing efficiency of conservation programs, (3) promoting increase use of renewables and distributed generation, and (4) measures to encourage wholesale competition.  NNG filed comments November 1 stressing its ability as a pipeline to serve substantial amounts of new natural gas fired electric generation in Minnesota.  Legislation to further this program was passed by the 2001 Legislature (SF 722) and signed by the governor.</w:t>
      </w:r>
    </w:p>
    <w:p>
      <w:pPr>
        <w:pStyle w:val="Normal"/>
        <w:rPr>
          <w:b/>
        </w:rPr>
      </w:pPr>
      <w:r>
        <w:rPr>
          <w:b/>
        </w:rPr>
      </w:r>
    </w:p>
    <w:p>
      <w:pPr>
        <w:pStyle w:val="Normal"/>
        <w:rPr>
          <w:b/>
          <w:i/>
          <w:i/>
        </w:rPr>
      </w:pPr>
      <w:r>
        <w:rPr>
          <w:b/>
          <w:i/>
        </w:rPr>
        <w:t>History</w:t>
      </w:r>
    </w:p>
    <w:p>
      <w:pPr>
        <w:pStyle w:val="Normal"/>
        <w:rPr/>
      </w:pPr>
      <w:r>
        <w:rPr/>
      </w:r>
    </w:p>
    <w:p>
      <w:pPr>
        <w:pStyle w:val="Normal"/>
        <w:rPr/>
      </w:pPr>
      <w:r>
        <w:rPr/>
        <w:t xml:space="preserve">In September 1996 the PUC dismissed without prejudice Minnegasco’s proposed three-year pilot program to allow the aggregation of individual customer loads by marketers or brokers (Docket No. G-008/M-95-216).  The proposal was opposed by the Office of Attorney General (OAG), which expressed concerns about cost shifting to residential consumers and by marketers who viewed as anti-competitive many of the plans provisions.  </w:t>
      </w:r>
    </w:p>
    <w:p>
      <w:pPr>
        <w:pStyle w:val="Normal"/>
        <w:rPr/>
      </w:pPr>
      <w:r>
        <w:rPr/>
      </w:r>
    </w:p>
    <w:p>
      <w:pPr>
        <w:pStyle w:val="Normal"/>
        <w:rPr/>
      </w:pPr>
      <w:r>
        <w:rPr/>
        <w:t>The PUC in February 1997 opened Docket No. G-999/CI-97-145, which formed a work group to further study natural gas unbundling issues.  Following a series of work group meetings, PUC staff in June 1997 assembled a set of unbundling "principles" and parties were allowed to comment on the principles and whether or not gas unbundling deserved further consideration by the PUC.</w:t>
      </w:r>
    </w:p>
    <w:p>
      <w:pPr>
        <w:pStyle w:val="Normal"/>
        <w:rPr/>
      </w:pPr>
      <w:r>
        <w:rPr/>
      </w:r>
    </w:p>
    <w:p>
      <w:pPr>
        <w:pStyle w:val="Normal"/>
        <w:rPr/>
      </w:pPr>
      <w:r>
        <w:rPr/>
        <w:t>In August 1997 the PUC received a petition for a rulemaking (Docket No. G-999/R-97-1317) to require Minnesota gas utilities to permit consumers to purchase natural gas from suppliers other than the utility.  The petitioners, including Enron Capital and Trade Resources (ECT), proposed that customer choice be implemented within a year and that LDCs' merchant function be eliminated by the year 2003.</w:t>
      </w:r>
    </w:p>
    <w:p>
      <w:pPr>
        <w:pStyle w:val="Normal"/>
        <w:rPr/>
      </w:pPr>
      <w:r>
        <w:rPr/>
      </w:r>
    </w:p>
    <w:p>
      <w:pPr>
        <w:pStyle w:val="Normal"/>
        <w:rPr/>
      </w:pPr>
      <w:r>
        <w:rPr/>
        <w:t>The PUC in October 1997 rejected the proposed unbundling rulemaking, initiating instead a new round of workshops under the previously opened study docket (G-999/CI-97-145).   The group was given a deadline of June 1, 1998 for developing a report to be used to determine which class or groups of classes might be ready for unbundling effective as early as the 1998-1999 heating season.</w:t>
      </w:r>
    </w:p>
    <w:p>
      <w:pPr>
        <w:pStyle w:val="Normal"/>
        <w:rPr/>
      </w:pPr>
      <w:r>
        <w:rPr/>
      </w:r>
    </w:p>
    <w:p>
      <w:pPr>
        <w:pStyle w:val="Normal"/>
        <w:rPr/>
      </w:pPr>
      <w:r>
        <w:rPr/>
        <w:t xml:space="preserve">In January 1998 PUC staff distributed surveys that addressed nine threshold issues.  One was directed at “Control of Upstream (Pipeline) Capacity,” another at “System Reliability &amp; Operational Integrity,” which included appropriate levels of pipeline capacity.  The PUC asked for responses to attempt to quantify unbundling’s economics and impacts by customer class. </w:t>
      </w:r>
    </w:p>
    <w:p>
      <w:pPr>
        <w:pStyle w:val="Normal"/>
        <w:rPr/>
      </w:pPr>
      <w:r>
        <w:rPr/>
      </w:r>
    </w:p>
    <w:p>
      <w:pPr>
        <w:pStyle w:val="Normal"/>
        <w:rPr/>
      </w:pPr>
      <w:r>
        <w:rPr/>
        <w:t xml:space="preserve">The staff report was filed on July 15, 1998.  On July 23, 1998 the PUC approved continuing the docket and directed the work group to submit a gas unbundling implementation plan (guidelines and instructions) for all LDCs in approximately one year (July 1999).  No further work group meetings were held and no implementation plan was developed. </w:t>
      </w:r>
    </w:p>
    <w:p>
      <w:pPr>
        <w:pStyle w:val="Normal"/>
        <w:rPr/>
      </w:pPr>
      <w:r>
        <w:rPr/>
      </w:r>
    </w:p>
    <w:p>
      <w:pPr>
        <w:pStyle w:val="Normal"/>
        <w:rPr/>
      </w:pPr>
      <w:r>
        <w:rPr/>
        <w:t xml:space="preserve">On May 6, 1999, the PUC decided to close the workshop docket and open two new dockets.  The first was an unbundling investigation (see E,G-999/CI-99-687, above).  The second was G-999/CI-99-688, which launched an investigation into the outsourcing of gas utilities' gas and transportation procurement functions and resulted from a suggestion by the Office of Attorney General.  The AOG maintained that outsourcing, in addition to performance base regulation programs, might be a less complex short-term means of capturing the benefits of a more competitive gas environment while the DOC and Legislature address industry restructuring.  </w:t>
      </w:r>
      <w:r>
        <w:rPr>
          <w:b/>
        </w:rPr>
        <w:t xml:space="preserve">Numerous parties including the state's LDCs, Northern and Enron Capital and Trade Resources filed comments.  </w:t>
      </w:r>
    </w:p>
    <w:p>
      <w:pPr>
        <w:pStyle w:val="Normal"/>
        <w:rPr>
          <w:b/>
        </w:rPr>
      </w:pPr>
      <w:r>
        <w:rPr>
          <w:b/>
        </w:rPr>
      </w:r>
    </w:p>
    <w:p>
      <w:pPr>
        <w:pStyle w:val="Normal"/>
        <w:rPr>
          <w:b/>
        </w:rPr>
      </w:pPr>
      <w:r>
        <w:rPr>
          <w:b/>
        </w:rPr>
        <w:t xml:space="preserve">In January 2000 the PUC closed the outsourcing docket but said it would consider outsourcing a possible option on a chase by case basis.  The Commission encouraged marketers to develop outsourcing proposals to present to LDCs.  Should a LDC unreasonably reject a proposal the PUC said the marketer should bring the proposal before the Commission.  </w:t>
      </w:r>
    </w:p>
    <w:p>
      <w:pPr>
        <w:pStyle w:val="Normal"/>
        <w:rPr>
          <w:b/>
        </w:rPr>
      </w:pPr>
      <w:r>
        <w:rPr>
          <w:b/>
        </w:rPr>
      </w:r>
    </w:p>
    <w:p>
      <w:pPr>
        <w:pStyle w:val="Normal"/>
        <w:rPr/>
      </w:pPr>
      <w:r>
        <w:rPr/>
      </w:r>
    </w:p>
    <w:p>
      <w:pPr>
        <w:pStyle w:val="Normal"/>
        <w:rPr/>
      </w:pPr>
      <w:r>
        <w:rPr/>
      </w:r>
      <w:r>
        <w:br w:type="page"/>
      </w:r>
    </w:p>
    <w:p>
      <w:pPr>
        <w:pStyle w:val="Normal"/>
        <w:jc w:val="center"/>
        <w:rPr>
          <w:b/>
          <w:sz w:val="40"/>
          <w:u w:val="single"/>
        </w:rPr>
      </w:pPr>
      <w:bookmarkStart w:id="8" w:name="_Hlk520700128"/>
      <w:r>
        <w:rPr>
          <w:b/>
          <w:sz w:val="40"/>
          <w:u w:val="single"/>
        </w:rPr>
        <w:t>Wisconsin</w:t>
      </w:r>
      <w:bookmarkEnd w:id="8"/>
    </w:p>
    <w:p>
      <w:pPr>
        <w:pStyle w:val="Normal"/>
        <w:jc w:val="center"/>
        <w:rPr>
          <w:b/>
          <w:sz w:val="40"/>
          <w:u w:val="single"/>
        </w:rPr>
      </w:pPr>
      <w:r>
        <w:rPr>
          <w:b/>
          <w:sz w:val="40"/>
          <w:u w:val="single"/>
        </w:rPr>
      </w:r>
    </w:p>
    <w:p>
      <w:pPr>
        <w:pStyle w:val="Normal"/>
        <w:jc w:val="center"/>
        <w:rPr/>
      </w:pPr>
      <w:hyperlink w:anchor="_Hlk520700310">
        <w:r>
          <w:rPr>
            <w:rStyle w:val="Hyperlink"/>
          </w:rPr>
          <w:t>Table of Contents</w:t>
        </w:r>
      </w:hyperlink>
    </w:p>
    <w:p>
      <w:pPr>
        <w:pStyle w:val="Normal"/>
        <w:jc w:val="center"/>
        <w:rPr>
          <w:b/>
          <w:sz w:val="52"/>
          <w:u w:val="single"/>
        </w:rPr>
      </w:pPr>
      <w:r>
        <w:rPr>
          <w:b/>
          <w:sz w:val="52"/>
          <w:u w:val="single"/>
        </w:rPr>
      </w:r>
    </w:p>
    <w:p>
      <w:pPr>
        <w:pStyle w:val="Normal"/>
        <w:rPr>
          <w:b/>
          <w:i/>
          <w:i/>
        </w:rPr>
      </w:pPr>
      <w:r>
        <w:rPr>
          <w:b/>
          <w:i/>
        </w:rPr>
        <w:t>Most Recent Activity</w:t>
      </w:r>
    </w:p>
    <w:p>
      <w:pPr>
        <w:pStyle w:val="Normal"/>
        <w:rPr>
          <w:b/>
          <w:i/>
          <w:i/>
        </w:rPr>
      </w:pPr>
      <w:r>
        <w:rPr>
          <w:b/>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b/>
        </w:rPr>
      </w:pPr>
      <w:r>
        <w:rPr>
          <w:b/>
        </w:rPr>
        <w:t>In May, Wisconsin Gas Co. announced it would end a five-year pilot project that allowed natural gas customers in some parts of the state to choose their own suppliers.  A total of 3,485 customers who switched to other gas providers were notified they must again buy from Wisconsin Gas when the pilot program ends October 31, 2001.  The program was opened in 1996 to both commercial and residential gas users in the West Bend area, and to commercial customers elsewhere served off ANR pipeline. Wisconsin Gas said that the plan was costing the company $800,000 to $1.6 million a year to operate and in order to continue it the company would need to collect substantial fees from participating customers.</w:t>
      </w:r>
    </w:p>
    <w:p>
      <w:pPr>
        <w:pStyle w:val="Normal"/>
        <w:rPr>
          <w:b/>
        </w:rPr>
      </w:pPr>
      <w:r>
        <w:rPr>
          <w:b/>
        </w:rPr>
      </w:r>
    </w:p>
    <w:p>
      <w:pPr>
        <w:pStyle w:val="Normal"/>
        <w:rPr/>
      </w:pPr>
      <w:r>
        <w:rPr/>
        <w:t>Prior to the Wisconsin Gas pilot termination, the last significant unbundling action was taken in June 1997 when the Wisconsin PSC issued an order in Docket No. 05-GI-108 Phase III in which it decided to move incrementally and to accommodate, not promote, deregulation.  Additional, statewide pilots were not mandated but were not ruled out. The PSC said it would act, as it became necessary to remove regulatory and structural barriers to competition. The Commission generally agreed with the industry that the most significant barrier to unbundling was access to pipeline capacity and the means to retain existing capacity to serve Wisconsin markets.  If there was to be mandatory capacity release, the Commission indicated the LDC should have the ability to recall capacity.</w:t>
      </w:r>
    </w:p>
    <w:p>
      <w:pPr>
        <w:pStyle w:val="Normal"/>
        <w:rPr/>
      </w:pPr>
      <w:r>
        <w:rPr/>
      </w:r>
    </w:p>
    <w:p>
      <w:pPr>
        <w:pStyle w:val="Normal"/>
        <w:rPr/>
      </w:pPr>
      <w:r>
        <w:rPr/>
        <w:t xml:space="preserve">While the commission decided it was not in a position to immediately unbundle LDC services, it did form six work groups to continue looking at the associated issues.  Included was a Capacity Policy Team.  This group's missions included data gathering and analysis and Northern met with the team in December of 1997 as part of this process.  The team also was to study capacity obligation and control issues to develop long-term capacity contracting strategies and tactics.  This team has spent considerable time evaluating proposed pipeline expansions in or through Wisconsin and on FERC capacity policy issues.  </w:t>
      </w:r>
    </w:p>
    <w:p>
      <w:pPr>
        <w:pStyle w:val="Normal"/>
        <w:rPr/>
      </w:pPr>
      <w:r>
        <w:rPr/>
      </w:r>
    </w:p>
    <w:p>
      <w:pPr>
        <w:pStyle w:val="Normal"/>
        <w:rPr>
          <w:b/>
          <w:i/>
          <w:i/>
        </w:rPr>
      </w:pPr>
      <w:r>
        <w:rPr>
          <w:b/>
          <w:i/>
        </w:rPr>
        <w:t>Background</w:t>
      </w:r>
    </w:p>
    <w:p>
      <w:pPr>
        <w:pStyle w:val="Normal"/>
        <w:rPr>
          <w:b/>
          <w:u w:val="single"/>
        </w:rPr>
      </w:pPr>
      <w:r>
        <w:rPr>
          <w:b/>
          <w:u w:val="single"/>
        </w:rPr>
      </w:r>
    </w:p>
    <w:p>
      <w:pPr>
        <w:pStyle w:val="Normal"/>
        <w:rPr/>
      </w:pPr>
      <w:r>
        <w:rPr/>
        <w:t>In March of 1992 the PSC formed a work group to evaluate possible regulatory changes for the gas industry. This lead eventually to a generic unbundling investigation (Docket 05-GI-108), which was conducted in three phases.</w:t>
      </w:r>
    </w:p>
    <w:p>
      <w:pPr>
        <w:pStyle w:val="Normal"/>
        <w:rPr>
          <w:b/>
          <w:u w:val="single"/>
        </w:rPr>
      </w:pPr>
      <w:r>
        <w:rPr>
          <w:b/>
          <w:u w:val="single"/>
        </w:rPr>
      </w:r>
    </w:p>
    <w:p>
      <w:pPr>
        <w:pStyle w:val="Normal"/>
        <w:rPr/>
      </w:pPr>
      <w:r>
        <w:rPr/>
        <w:t xml:space="preserve">Phase I led to the determination that utilities should unbundle their services along functional lines, that is basic distribution services and competitive supply services.  It also was decided that utility marketing affiliates should be separated from the utility.  </w:t>
      </w:r>
    </w:p>
    <w:p>
      <w:pPr>
        <w:pStyle w:val="Normal"/>
        <w:rPr/>
      </w:pPr>
      <w:r>
        <w:rPr/>
      </w:r>
    </w:p>
    <w:p>
      <w:pPr>
        <w:pStyle w:val="Normal"/>
        <w:rPr/>
      </w:pPr>
      <w:r>
        <w:rPr/>
        <w:t>Phase II set standards of conduct for dealings between utilities and their affiliates.</w:t>
      </w:r>
    </w:p>
    <w:p>
      <w:pPr>
        <w:pStyle w:val="Normal"/>
        <w:rPr/>
      </w:pPr>
      <w:r>
        <w:rPr/>
      </w:r>
    </w:p>
    <w:p>
      <w:pPr>
        <w:pStyle w:val="Normal"/>
        <w:rPr/>
      </w:pPr>
      <w:r>
        <w:rPr/>
        <w:t>Phase III focused on standards for deregulating markets and was aimed at giving the PSC a variety of methods for assessing the level of competition in a defined market for a given product or service and determining what level would be sufficient for the removal of regulation.  Phase III also addressed barriers to competition.  The PSC decisions in this phase are detailed above.</w:t>
      </w:r>
    </w:p>
    <w:p>
      <w:pPr>
        <w:pStyle w:val="Normal"/>
        <w:rPr/>
      </w:pPr>
      <w:r>
        <w:rPr/>
      </w:r>
    </w:p>
    <w:p>
      <w:pPr>
        <w:pStyle w:val="Normal"/>
        <w:rPr/>
      </w:pPr>
      <w:r>
        <w:rPr/>
        <w:t>The Wisconsin Public Utility Institute of the University of Wisconsin School of Business began a series of natural gas policy executive roundtables in June 1997.  These led to filings in December 1997 of “White Papers” on deregulation of large industrial customers.  Recommendations for deregulating the interruptible customer segment were discussed in February 1998.  There was talk of continuing the roundtables to address deregulation of large firm customers but no such meetings were ever held.</w:t>
      </w:r>
      <w:r>
        <w:br w:type="page"/>
      </w:r>
    </w:p>
    <w:p>
      <w:pPr>
        <w:pStyle w:val="Normal"/>
        <w:jc w:val="center"/>
        <w:rPr>
          <w:b/>
          <w:sz w:val="40"/>
          <w:u w:val="single"/>
        </w:rPr>
      </w:pPr>
      <w:bookmarkStart w:id="9" w:name="_Hlk520700189"/>
      <w:r>
        <w:rPr>
          <w:b/>
          <w:sz w:val="40"/>
          <w:u w:val="single"/>
        </w:rPr>
        <w:t>Nebraska</w:t>
      </w:r>
      <w:bookmarkEnd w:id="9"/>
    </w:p>
    <w:p>
      <w:pPr>
        <w:pStyle w:val="Normal"/>
        <w:jc w:val="center"/>
        <w:rPr>
          <w:b/>
          <w:sz w:val="40"/>
          <w:u w:val="single"/>
        </w:rPr>
      </w:pPr>
      <w:r>
        <w:rPr>
          <w:b/>
          <w:sz w:val="40"/>
          <w:u w:val="single"/>
        </w:rPr>
      </w:r>
    </w:p>
    <w:p>
      <w:pPr>
        <w:pStyle w:val="Normal"/>
        <w:jc w:val="center"/>
        <w:rPr>
          <w:b/>
          <w:sz w:val="52"/>
          <w:u w:val="single"/>
        </w:rPr>
      </w:pPr>
      <w:hyperlink w:anchor="_Hlk520700310">
        <w:r>
          <w:rPr>
            <w:rStyle w:val="Hyperlink"/>
          </w:rPr>
          <w:t>Table of Contents</w:t>
        </w:r>
      </w:hyperlink>
    </w:p>
    <w:p>
      <w:pPr>
        <w:pStyle w:val="Normal"/>
        <w:jc w:val="center"/>
        <w:rPr>
          <w:b/>
          <w:sz w:val="52"/>
          <w:u w:val="single"/>
        </w:rPr>
      </w:pPr>
      <w:r>
        <w:rPr>
          <w:b/>
          <w:sz w:val="52"/>
          <w:u w:val="single"/>
        </w:rPr>
      </w:r>
    </w:p>
    <w:p>
      <w:pPr>
        <w:pStyle w:val="Normal"/>
        <w:rPr>
          <w:b/>
          <w:i/>
          <w:i/>
        </w:rPr>
      </w:pPr>
      <w:r>
        <w:rPr>
          <w:b/>
          <w:i/>
        </w:rPr>
        <w:t>Most Recent Activity</w:t>
      </w:r>
    </w:p>
    <w:p>
      <w:pPr>
        <w:pStyle w:val="Normal"/>
        <w:rPr>
          <w:b/>
          <w:i/>
          <w:i/>
          <w:u w:val="single"/>
        </w:rPr>
      </w:pPr>
      <w:r>
        <w:rPr>
          <w:b/>
          <w:i/>
          <w:u w:val="single"/>
        </w:rPr>
      </w:r>
    </w:p>
    <w:p>
      <w:pPr>
        <w:pStyle w:val="Normal"/>
        <w:rPr>
          <w:b/>
        </w:rPr>
      </w:pPr>
      <w:r>
        <w:rPr>
          <w:b/>
        </w:rPr>
        <w:t>In April 1998, KN Energy, which serves about one-fifth of Nebraska's residential and commercial customers, initiated its "Choice Gas" program, which allows its agricultural, commercial and residential customers to choose a supplier for their natural gas supplies. Virtually all eligible customers are participating in the program. During the annual two-week signup period in April 2001, six suppliers competed for all three groups' business.  These six suppliers plus two more were available to agricultural customers.</w:t>
      </w:r>
    </w:p>
    <w:p>
      <w:pPr>
        <w:pStyle w:val="Normal"/>
        <w:rPr>
          <w:b/>
        </w:rPr>
      </w:pPr>
      <w:r>
        <w:rPr>
          <w:b/>
        </w:rPr>
      </w:r>
    </w:p>
    <w:p>
      <w:pPr>
        <w:pStyle w:val="Normal"/>
        <w:rPr>
          <w:b/>
          <w:i/>
          <w:i/>
        </w:rPr>
      </w:pPr>
      <w:r>
        <w:rPr>
          <w:b/>
          <w:i/>
        </w:rPr>
        <w:t>Background</w:t>
      </w:r>
    </w:p>
    <w:p>
      <w:pPr>
        <w:pStyle w:val="Normal"/>
        <w:rPr/>
      </w:pPr>
      <w:r>
        <w:rPr/>
      </w:r>
    </w:p>
    <w:p>
      <w:pPr>
        <w:pStyle w:val="Normal"/>
        <w:rPr/>
      </w:pPr>
      <w:r>
        <w:rPr/>
        <w:t>An unbundling bill (LB 318) was introduced in the 1997 Nebraska Unicameral.  Among other things it would have required that all utility customers be afforded a realistic opportunity, either on an individual customer basis or through collective purchasing, to exercise choice for natural gas supply service.  It was not acted upon.</w:t>
      </w:r>
    </w:p>
    <w:p>
      <w:pPr>
        <w:pStyle w:val="Normal"/>
        <w:rPr/>
      </w:pPr>
      <w:r>
        <w:rPr/>
      </w:r>
    </w:p>
    <w:p>
      <w:pPr>
        <w:pStyle w:val="Normal"/>
        <w:rPr/>
      </w:pPr>
      <w:r>
        <w:rPr/>
        <w:t xml:space="preserve">In December 1997 the Legislature's Urban Affairs Committee began a series of meetings to hear various views and ideas about unbundling.  In a committee meeting just after the 1998 session began, KN Energy announced an agreement with the League of Municipalities and the Nebraska Public Power Pool that would help KN unbundle their 200 Nebraska towns.  Peoples also announced at that meeting that they intended to unbundle all their Nebraska communities in 1998 or 1999.  </w:t>
      </w:r>
    </w:p>
    <w:p>
      <w:pPr>
        <w:pStyle w:val="Normal"/>
        <w:rPr/>
      </w:pPr>
      <w:r>
        <w:rPr/>
      </w:r>
    </w:p>
    <w:p>
      <w:pPr>
        <w:pStyle w:val="Normal"/>
        <w:rPr/>
      </w:pPr>
      <w:r>
        <w:rPr/>
        <w:t>The 1998 Legislature's Executive Board passed a resolution authorizing an interim study.  An Urban Affairs Committee hearing was finally conducted in mid-December 1998.  The committee's counsel recommended a comprehensive legislative study of the Nebraska natural gas industry be undertaken.</w:t>
      </w:r>
    </w:p>
    <w:p>
      <w:pPr>
        <w:pStyle w:val="Normal"/>
        <w:rPr/>
      </w:pPr>
      <w:r>
        <w:rPr/>
      </w:r>
    </w:p>
    <w:p>
      <w:pPr>
        <w:pStyle w:val="Normal"/>
        <w:rPr/>
      </w:pPr>
      <w:r>
        <w:rPr/>
        <w:t xml:space="preserve">The 1999 Nebraska Legislature passed a bill (LR 74) authorizing an interim study to examine the natural gas industry in Nebraska.  Another bill (LB 805) was passed that allocated $200,000 to fund the study, which was to include a comprehensive overview of the organization, structure, governance, regulation, effectiveness, and consumer satisfaction with existing Nebraska natural gas utility systems, both publicly and privately owned, and the emerging issues of competition, deregulation, and restructuring in the natural gas industry and their effect upon Nebraska natural gas utility systems.  </w:t>
      </w:r>
    </w:p>
    <w:p>
      <w:pPr>
        <w:pStyle w:val="Normal"/>
        <w:rPr/>
      </w:pPr>
      <w:r>
        <w:rPr/>
      </w:r>
    </w:p>
    <w:p>
      <w:pPr>
        <w:pStyle w:val="Normal"/>
        <w:rPr>
          <w:b/>
        </w:rPr>
      </w:pPr>
      <w:r>
        <w:rPr>
          <w:b/>
        </w:rPr>
        <w:t>NNG participated on an advisory committee to the Urban Affairs Committee in its search for a consultant to conduct the study.  In April 2000 the committee selected Economic &amp; Financial Resources (EFR) of Ankeny, Iowa as the consultant.</w:t>
      </w:r>
    </w:p>
    <w:p>
      <w:pPr>
        <w:pStyle w:val="Normal"/>
        <w:rPr>
          <w:b/>
        </w:rPr>
      </w:pPr>
      <w:r>
        <w:rPr>
          <w:b/>
        </w:rPr>
      </w:r>
    </w:p>
    <w:p>
      <w:pPr>
        <w:pStyle w:val="Normal"/>
        <w:rPr>
          <w:b/>
        </w:rPr>
      </w:pPr>
      <w:r>
        <w:rPr>
          <w:b/>
        </w:rPr>
        <w:t>In December 2000 the consultants recommended establishing a state agency to regulate investor-owned natural gas utilities and possibly pipeline safety. The committee took the recommendations under advisement.</w:t>
      </w:r>
    </w:p>
    <w:p>
      <w:pPr>
        <w:pStyle w:val="Normal"/>
        <w:rPr>
          <w:b/>
        </w:rPr>
      </w:pPr>
      <w:r>
        <w:rPr>
          <w:b/>
        </w:rPr>
      </w:r>
    </w:p>
    <w:p>
      <w:pPr>
        <w:pStyle w:val="Normal"/>
        <w:rPr>
          <w:b/>
        </w:rPr>
      </w:pPr>
      <w:r>
        <w:rPr>
          <w:b/>
        </w:rPr>
        <w:t xml:space="preserve">Two bills were introduced in the 2001 Nebraska Legislature.  Both LB 806 and LB 807 were "shell" bills to serve as vehicles to either extend LDC oversight responsibilities to the Public Service Commission or create a natural gas regulatory department within state government to assist municipalities with rate cases. </w:t>
      </w:r>
    </w:p>
    <w:p>
      <w:pPr>
        <w:pStyle w:val="Normal"/>
        <w:rPr>
          <w:b/>
          <w:sz w:val="18"/>
        </w:rPr>
      </w:pPr>
      <w:r>
        <w:rPr>
          <w:b/>
          <w:sz w:val="18"/>
        </w:rPr>
      </w:r>
    </w:p>
    <w:p>
      <w:pPr>
        <w:pStyle w:val="Normal"/>
        <w:rPr>
          <w:b/>
        </w:rPr>
      </w:pPr>
      <w:r>
        <w:rPr>
          <w:b/>
        </w:rPr>
        <w:t>The Urban Affairs Committee held hearings on the two bills March 6, but took no further action.  Both will carry over to the 2002 legislative session.</w:t>
      </w:r>
    </w:p>
    <w:p>
      <w:pPr>
        <w:pStyle w:val="Normal"/>
        <w:rPr>
          <w:b/>
        </w:rPr>
      </w:pPr>
      <w:r>
        <w:rPr>
          <w:b/>
        </w:rPr>
      </w:r>
      <w:r>
        <w:br w:type="page"/>
      </w:r>
    </w:p>
    <w:p>
      <w:pPr>
        <w:pStyle w:val="Normal"/>
        <w:jc w:val="center"/>
        <w:rPr>
          <w:b/>
          <w:sz w:val="40"/>
          <w:u w:val="single"/>
        </w:rPr>
      </w:pPr>
      <w:bookmarkStart w:id="10" w:name="_Hlk520700231"/>
      <w:r>
        <w:rPr>
          <w:b/>
          <w:sz w:val="40"/>
          <w:u w:val="single"/>
        </w:rPr>
        <w:t>Illinois</w:t>
      </w:r>
      <w:bookmarkEnd w:id="10"/>
    </w:p>
    <w:p>
      <w:pPr>
        <w:pStyle w:val="Normal"/>
        <w:jc w:val="center"/>
        <w:rPr>
          <w:b/>
          <w:sz w:val="40"/>
          <w:u w:val="single"/>
        </w:rPr>
      </w:pPr>
      <w:r>
        <w:rPr>
          <w:b/>
          <w:sz w:val="40"/>
          <w:u w:val="single"/>
        </w:rPr>
      </w:r>
    </w:p>
    <w:p>
      <w:pPr>
        <w:pStyle w:val="Normal"/>
        <w:jc w:val="center"/>
        <w:rPr>
          <w:b/>
          <w:sz w:val="52"/>
          <w:u w:val="single"/>
        </w:rPr>
      </w:pPr>
      <w:hyperlink w:anchor="_Hlk520700310">
        <w:r>
          <w:rPr>
            <w:rStyle w:val="Hyperlink"/>
          </w:rPr>
          <w:t>Table of Contents</w:t>
        </w:r>
      </w:hyperlink>
    </w:p>
    <w:p>
      <w:pPr>
        <w:pStyle w:val="Normal"/>
        <w:jc w:val="center"/>
        <w:rPr>
          <w:b/>
          <w:sz w:val="52"/>
          <w:u w:val="single"/>
        </w:rPr>
      </w:pPr>
      <w:r>
        <w:rPr>
          <w:b/>
          <w:sz w:val="52"/>
          <w:u w:val="single"/>
        </w:rPr>
      </w:r>
    </w:p>
    <w:p>
      <w:pPr>
        <w:pStyle w:val="Normal"/>
        <w:rPr>
          <w:b/>
          <w:i/>
          <w:i/>
        </w:rPr>
      </w:pPr>
      <w:r>
        <w:rPr>
          <w:b/>
          <w:i/>
        </w:rPr>
        <w:t>Most Recent Activity</w:t>
      </w:r>
    </w:p>
    <w:p>
      <w:pPr>
        <w:pStyle w:val="Normal"/>
        <w:rPr>
          <w:b/>
          <w:i/>
          <w:i/>
        </w:rPr>
      </w:pPr>
      <w:r>
        <w:rPr>
          <w:b/>
          <w:i/>
        </w:rPr>
      </w:r>
    </w:p>
    <w:p>
      <w:pPr>
        <w:pStyle w:val="Normal"/>
        <w:rPr/>
      </w:pPr>
      <w:r>
        <w:rPr>
          <w:b/>
        </w:rPr>
        <w:t xml:space="preserve">On August 11, 2000, Nicor Gas filed a request with the Illinois Commerce Commission to expand its </w:t>
      </w:r>
      <w:r>
        <w:rPr>
          <w:b/>
          <w:i/>
        </w:rPr>
        <w:t xml:space="preserve">Customer Select </w:t>
      </w:r>
      <w:r>
        <w:rPr>
          <w:b/>
        </w:rPr>
        <w:t xml:space="preserve">customer choice pilot program to all of its business and residential customers.  On September 20, 2000, The ICC voted to suspend the proposed expansion and initiated hearings about the program (Docket No. 00-0620). </w:t>
      </w:r>
    </w:p>
    <w:p>
      <w:pPr>
        <w:pStyle w:val="Normal"/>
        <w:rPr>
          <w:b/>
        </w:rPr>
      </w:pPr>
      <w:r>
        <w:rPr>
          <w:b/>
        </w:rPr>
      </w:r>
    </w:p>
    <w:p>
      <w:pPr>
        <w:pStyle w:val="Normal"/>
        <w:rPr/>
      </w:pPr>
      <w:r>
        <w:rPr>
          <w:b/>
        </w:rPr>
        <w:t>On October 5, 2000, Nicor filed a plan that would enable customers currently participating in the program to continue until the ICC hearing process is completed. The interim plan, approved November 1, 2000, also allows all businesses and residential customers who were eligible early in 2000 the opportunity to choose an alternative supplier during a</w:t>
      </w:r>
      <w:r>
        <w:rPr>
          <w:b/>
          <w:i/>
        </w:rPr>
        <w:t xml:space="preserve"> </w:t>
      </w:r>
      <w:r>
        <w:rPr>
          <w:b/>
        </w:rPr>
        <w:t xml:space="preserve">sign up period that began last January and ended March 31. </w:t>
      </w:r>
    </w:p>
    <w:p>
      <w:pPr>
        <w:pStyle w:val="Normal"/>
        <w:rPr>
          <w:b/>
        </w:rPr>
      </w:pPr>
      <w:r>
        <w:rPr>
          <w:b/>
        </w:rPr>
      </w:r>
    </w:p>
    <w:p>
      <w:pPr>
        <w:pStyle w:val="Normal"/>
        <w:rPr/>
      </w:pPr>
      <w:r>
        <w:rPr>
          <w:b/>
        </w:rPr>
        <w:t>An administrative law judge's proposed decision issued May 22</w:t>
      </w:r>
      <w:r>
        <w:rPr>
          <w:b/>
          <w:vertAlign w:val="superscript"/>
        </w:rPr>
        <w:t>nd</w:t>
      </w:r>
      <w:r>
        <w:rPr>
          <w:b/>
        </w:rPr>
        <w:t xml:space="preserve"> would continue the Nicor pilot program.  Nicor would be required to explicitly state that it would not impose a Customer Select operational flow order (OFO) unless it imposes similar conditions on all other classes of non-Customer Select transportation customers, as well as on itself. The order would deny supplier proposals that they be given enhanced access to Nicor storage because they already have a 15% flexibility, which Nicor says effectively amounts to storage.</w:t>
      </w:r>
    </w:p>
    <w:p>
      <w:pPr>
        <w:pStyle w:val="Normal"/>
        <w:rPr>
          <w:b/>
          <w:u w:val="single"/>
        </w:rPr>
      </w:pPr>
      <w:r>
        <w:rPr>
          <w:b/>
          <w:u w:val="single"/>
        </w:rPr>
      </w:r>
    </w:p>
    <w:p>
      <w:pPr>
        <w:pStyle w:val="Normal"/>
        <w:rPr>
          <w:b/>
          <w:i/>
          <w:i/>
        </w:rPr>
      </w:pPr>
      <w:r>
        <w:rPr>
          <w:b/>
          <w:i/>
        </w:rPr>
        <w:t>Background</w:t>
      </w:r>
    </w:p>
    <w:p>
      <w:pPr>
        <w:pStyle w:val="Normal"/>
        <w:rPr/>
      </w:pPr>
      <w:r>
        <w:rPr/>
      </w:r>
    </w:p>
    <w:p>
      <w:pPr>
        <w:pStyle w:val="Normal"/>
        <w:rPr/>
      </w:pPr>
      <w:r>
        <w:rPr/>
        <w:t>In 1997 the Illinois Commerce Commission’s gas policy committee held three informational meetings to get an overall view of attitudes toward expanding transportation options to smaller customers.  A workshop was held and a letter was sent to the Legislature and the governor on possible legislative changes to facilitate natural gas unbundling.  Though it was speculated that the legislature might act during its fall 1997 session it did not do so.</w:t>
      </w:r>
    </w:p>
    <w:p>
      <w:pPr>
        <w:pStyle w:val="Normal"/>
        <w:rPr/>
      </w:pPr>
      <w:r>
        <w:rPr/>
      </w:r>
    </w:p>
    <w:p>
      <w:pPr>
        <w:pStyle w:val="Normal"/>
        <w:rPr/>
      </w:pPr>
      <w:r>
        <w:rPr/>
        <w:t>The ICC in October 1997 approved a NICOR Gas three-year pilot to expand customer choice options to 150,000 customers.  The program started in May 1998 and was to be extended to single-family residential customers no later than the third year, but the program expansion was suspended by the ICC (see above).</w:t>
      </w:r>
    </w:p>
    <w:p>
      <w:pPr>
        <w:pStyle w:val="Normal"/>
        <w:rPr/>
      </w:pPr>
      <w:r>
        <w:rPr/>
      </w:r>
    </w:p>
    <w:p>
      <w:pPr>
        <w:pStyle w:val="Normal"/>
        <w:rPr>
          <w:b/>
        </w:rPr>
      </w:pPr>
      <w:r>
        <w:rPr>
          <w:b/>
        </w:rPr>
        <w:t>In July 2000 the ICC established a Marketing Monitoring Unit (MMU) to study the development of competition in the telephone, gas, and electric industries and to identify any impediments to the full emergence of competition in these industries within Illinois.</w:t>
      </w:r>
    </w:p>
    <w:p>
      <w:pPr>
        <w:pStyle w:val="Normal"/>
        <w:rPr>
          <w:b/>
        </w:rPr>
      </w:pPr>
      <w:r>
        <w:rPr>
          <w:b/>
        </w:rPr>
      </w:r>
    </w:p>
    <w:p>
      <w:pPr>
        <w:pStyle w:val="Normal"/>
        <w:rPr/>
      </w:pPr>
      <w:r>
        <w:rPr/>
      </w:r>
    </w:p>
    <w:p>
      <w:pPr>
        <w:pStyle w:val="Normal"/>
        <w:rPr/>
      </w:pPr>
      <w:r>
        <w:rPr/>
      </w:r>
      <w:r>
        <w:br w:type="page"/>
      </w:r>
    </w:p>
    <w:p>
      <w:pPr>
        <w:pStyle w:val="Normal"/>
        <w:jc w:val="center"/>
        <w:rPr>
          <w:b/>
          <w:sz w:val="40"/>
          <w:u w:val="single"/>
        </w:rPr>
      </w:pPr>
      <w:bookmarkStart w:id="11" w:name="_Hlk520700728"/>
      <w:r>
        <w:rPr>
          <w:b/>
          <w:sz w:val="40"/>
          <w:u w:val="single"/>
        </w:rPr>
        <w:t>Kansas</w:t>
      </w:r>
      <w:bookmarkEnd w:id="11"/>
    </w:p>
    <w:p>
      <w:pPr>
        <w:pStyle w:val="Normal"/>
        <w:jc w:val="center"/>
        <w:rPr>
          <w:b/>
          <w:sz w:val="40"/>
          <w:u w:val="single"/>
        </w:rPr>
      </w:pPr>
      <w:r>
        <w:rPr>
          <w:b/>
          <w:sz w:val="40"/>
          <w:u w:val="single"/>
        </w:rPr>
      </w:r>
    </w:p>
    <w:p>
      <w:pPr>
        <w:pStyle w:val="Normal"/>
        <w:jc w:val="center"/>
        <w:rPr>
          <w:b/>
          <w:sz w:val="52"/>
          <w:u w:val="single"/>
        </w:rPr>
      </w:pPr>
      <w:hyperlink w:anchor="_Hlk520700310">
        <w:r>
          <w:rPr>
            <w:rStyle w:val="Hyperlink"/>
          </w:rPr>
          <w:t>Table of Contents</w:t>
        </w:r>
      </w:hyperlink>
    </w:p>
    <w:p>
      <w:pPr>
        <w:pStyle w:val="Normal"/>
        <w:rPr>
          <w:b/>
          <w:sz w:val="52"/>
          <w:u w:val="single"/>
        </w:rPr>
      </w:pPr>
      <w:r>
        <w:rPr>
          <w:b/>
          <w:sz w:val="52"/>
          <w:u w:val="single"/>
        </w:rPr>
      </w:r>
    </w:p>
    <w:p>
      <w:pPr>
        <w:pStyle w:val="Normal"/>
        <w:rPr>
          <w:b/>
          <w:color w:val="0000FF"/>
          <w:u w:val="single"/>
        </w:rPr>
      </w:pPr>
      <w:r>
        <w:rPr>
          <w:b/>
          <w:color w:val="0000FF"/>
          <w:u w:val="single"/>
        </w:rPr>
      </w:r>
    </w:p>
    <w:p>
      <w:pPr>
        <w:pStyle w:val="Normal"/>
        <w:rPr>
          <w:b/>
          <w:i/>
          <w:i/>
        </w:rPr>
      </w:pPr>
      <w:r>
        <w:rPr>
          <w:b/>
          <w:i/>
        </w:rPr>
        <w:t>Most Recent Activity</w:t>
      </w:r>
    </w:p>
    <w:p>
      <w:pPr>
        <w:pStyle w:val="Normal"/>
        <w:rPr>
          <w:color w:val="0000FF"/>
        </w:rPr>
      </w:pPr>
      <w:r>
        <w:rPr>
          <w:color w:val="0000FF"/>
        </w:rPr>
      </w:r>
    </w:p>
    <w:p>
      <w:pPr>
        <w:pStyle w:val="Normal"/>
        <w:rPr>
          <w:b/>
        </w:rPr>
      </w:pPr>
      <w:r>
        <w:rPr>
          <w:b/>
        </w:rPr>
        <w:t>Having dismissed the idea of full retail residential choice in 1999, the Kansas Corporation Commission in November 2000 approved the general procedure and framework of a Stipulation and Agreement that called for a three-year voluntary PBR pilot program. However, the Commission--concerned by the "meager level of evidence provided--rejected the provisions for setting benchmark prices, which were to be 100% of the pipeline specific daily indices and 101% of the pipeline specific monthly price indices.  The Commission said LDCs filing pilot programs would have to provide specific historical pricing data for the LDC and to make a comparison of that data with the particular indices proposed by the utility. In December 2000 the KCC, in response to a reconsideration request, issued an order reaffirming its earlier decisions.</w:t>
      </w:r>
    </w:p>
    <w:p>
      <w:pPr>
        <w:pStyle w:val="Normal"/>
        <w:rPr>
          <w:b/>
          <w:color w:val="0000FF"/>
        </w:rPr>
      </w:pPr>
      <w:r>
        <w:rPr>
          <w:b/>
          <w:color w:val="0000FF"/>
        </w:rPr>
      </w:r>
    </w:p>
    <w:p>
      <w:pPr>
        <w:pStyle w:val="Normal"/>
        <w:rPr>
          <w:b/>
          <w:i/>
          <w:i/>
        </w:rPr>
      </w:pPr>
      <w:r>
        <w:rPr>
          <w:b/>
          <w:i/>
        </w:rPr>
        <w:t>Background</w:t>
      </w:r>
    </w:p>
    <w:p>
      <w:pPr>
        <w:pStyle w:val="Normal"/>
        <w:rPr/>
      </w:pPr>
      <w:r>
        <w:rPr/>
      </w:r>
    </w:p>
    <w:p>
      <w:pPr>
        <w:pStyle w:val="Normal"/>
        <w:rPr/>
      </w:pPr>
      <w:r>
        <w:rPr/>
        <w:t>A bill was introduced in the 1998 Kansas Legislature that would have required the Kansas Corporation Commission to allow all retail natural gas customers to be able to choose a supplier by July of 2000.  The measure was not given a hearing and it died in committee.</w:t>
      </w:r>
    </w:p>
    <w:p>
      <w:pPr>
        <w:pStyle w:val="Normal"/>
        <w:rPr/>
      </w:pPr>
      <w:r>
        <w:rPr/>
      </w:r>
    </w:p>
    <w:p>
      <w:pPr>
        <w:pStyle w:val="Normal"/>
        <w:rPr/>
      </w:pPr>
      <w:r>
        <w:rPr/>
        <w:t xml:space="preserve">The KCC held an informal meeting on unbundling issues in October 1996. </w:t>
      </w:r>
    </w:p>
    <w:p>
      <w:pPr>
        <w:pStyle w:val="Normal"/>
        <w:rPr/>
      </w:pPr>
      <w:r>
        <w:rPr/>
      </w:r>
    </w:p>
    <w:p>
      <w:pPr>
        <w:pStyle w:val="Normal"/>
        <w:rPr/>
      </w:pPr>
      <w:r>
        <w:rPr/>
        <w:t xml:space="preserve">In February 1999 the Commission issued a Notice of Inquiry (99-GIMG-538-GIG) into whether extending the restructuring of the natural gas market in the retail sector or some alternative regulatory measure would be appropriate and in the public interest.  NORTHERN filed comments on April 1, 1999.  </w:t>
      </w:r>
      <w:r>
        <w:rPr>
          <w:b/>
        </w:rPr>
        <w:t>Staff recommended--in lieu of unbundling--a pipeline capacity competitive bidding process that would assure the LDC had shopped around for the best available pipeline services.  The KCC rejected the suggestion an Oct. 29, 1999 order, which also dismissed the idea of full retail choice at the residential level.  The order closed this docket and initiated a generic docket to develop a proposed index-based form of performance based regulation to determine the cost of gas to be charged to customers.</w:t>
      </w:r>
    </w:p>
    <w:p>
      <w:pPr>
        <w:pStyle w:val="Normal"/>
        <w:rPr>
          <w:b/>
        </w:rPr>
      </w:pPr>
      <w:r>
        <w:rPr>
          <w:b/>
        </w:rPr>
      </w:r>
    </w:p>
    <w:p>
      <w:pPr>
        <w:pStyle w:val="Normal"/>
        <w:rPr>
          <w:b/>
        </w:rPr>
      </w:pPr>
      <w:r>
        <w:rPr>
          <w:b/>
        </w:rPr>
        <w:t>A July 2000 staff report in the new generic docket (00-GIMG-425-GIG) recommended a gas purchase PBR mechanism that would set index-based benchmark prices that would be term and pipeline specific. For instance, the benchmark price applied to daily contracts for gas delivered to Panhandle would be identical to the PEPL (Oklahoma) index as published in Gas Daily. That same benchmark would apply to any Kansas jurisdictional LDC having purchased contracts of that type. Staff also recommended that only those contracts with daily and monthly terms be subject to a benchmark standard. Mid-term and long-term contracts would NOT be subject to the benchmarks.</w:t>
      </w:r>
    </w:p>
    <w:p>
      <w:pPr>
        <w:pStyle w:val="Normal"/>
        <w:rPr>
          <w:b/>
        </w:rPr>
      </w:pPr>
      <w:r>
        <w:rPr>
          <w:b/>
        </w:rPr>
      </w:r>
    </w:p>
    <w:p>
      <w:pPr>
        <w:pStyle w:val="Normal"/>
        <w:rPr>
          <w:b/>
        </w:rPr>
      </w:pPr>
      <w:r>
        <w:rPr>
          <w:b/>
        </w:rPr>
        <w:t>In November 2000, the Commission approved a stipulation and agreement in this docket (see above).</w:t>
      </w:r>
      <w:r>
        <w:br w:type="page"/>
      </w:r>
    </w:p>
    <w:p>
      <w:pPr>
        <w:pStyle w:val="Normal"/>
        <w:jc w:val="center"/>
        <w:rPr>
          <w:b/>
          <w:sz w:val="40"/>
          <w:u w:val="single"/>
        </w:rPr>
      </w:pPr>
      <w:bookmarkStart w:id="12" w:name="_Hlk520700945"/>
      <w:r>
        <w:rPr>
          <w:b/>
          <w:sz w:val="40"/>
          <w:u w:val="single"/>
        </w:rPr>
        <w:t>Michigan</w:t>
      </w:r>
      <w:bookmarkEnd w:id="12"/>
    </w:p>
    <w:p>
      <w:pPr>
        <w:pStyle w:val="Normal"/>
        <w:jc w:val="center"/>
        <w:rPr>
          <w:b/>
          <w:sz w:val="40"/>
          <w:u w:val="single"/>
        </w:rPr>
      </w:pPr>
      <w:r>
        <w:rPr>
          <w:b/>
          <w:sz w:val="40"/>
          <w:u w:val="single"/>
        </w:rPr>
      </w:r>
    </w:p>
    <w:p>
      <w:pPr>
        <w:pStyle w:val="Normal"/>
        <w:jc w:val="center"/>
        <w:rPr>
          <w:b/>
          <w:sz w:val="52"/>
          <w:u w:val="single"/>
        </w:rPr>
      </w:pPr>
      <w:hyperlink w:anchor="_Hlk520700310">
        <w:r>
          <w:rPr>
            <w:rStyle w:val="Hyperlink"/>
          </w:rPr>
          <w:t>Table of Contents</w:t>
        </w:r>
      </w:hyperlink>
    </w:p>
    <w:p>
      <w:pPr>
        <w:pStyle w:val="Normal"/>
        <w:rPr>
          <w:b/>
          <w:sz w:val="52"/>
          <w:u w:val="single"/>
        </w:rPr>
      </w:pPr>
      <w:r>
        <w:rPr>
          <w:b/>
          <w:sz w:val="52"/>
          <w:u w:val="single"/>
        </w:rPr>
      </w:r>
    </w:p>
    <w:p>
      <w:pPr>
        <w:pStyle w:val="Normal"/>
        <w:rPr>
          <w:b/>
          <w:u w:val="single"/>
        </w:rPr>
      </w:pPr>
      <w:r>
        <w:rPr>
          <w:b/>
          <w:u w:val="single"/>
        </w:rPr>
      </w:r>
    </w:p>
    <w:p>
      <w:pPr>
        <w:pStyle w:val="Normal"/>
        <w:rPr/>
      </w:pPr>
      <w:r>
        <w:rPr/>
      </w:r>
    </w:p>
    <w:p>
      <w:pPr>
        <w:pStyle w:val="Normal"/>
        <w:rPr>
          <w:b/>
          <w:i/>
          <w:i/>
        </w:rPr>
      </w:pPr>
      <w:r>
        <w:rPr>
          <w:b/>
          <w:i/>
        </w:rPr>
        <w:t>Most Recent Activity</w:t>
      </w:r>
    </w:p>
    <w:p>
      <w:pPr>
        <w:pStyle w:val="Normal"/>
        <w:rPr/>
      </w:pPr>
      <w:r>
        <w:rPr/>
      </w:r>
    </w:p>
    <w:p>
      <w:pPr>
        <w:pStyle w:val="Normal"/>
        <w:rPr>
          <w:b/>
        </w:rPr>
      </w:pPr>
      <w:r>
        <w:rPr>
          <w:b/>
        </w:rPr>
        <w:t>In August 2000 the Michigan PSC initiated a series of four public meetings designed to "take the next step" to provide choice to all Michigan natural gas customers.  The Commission directed its staff to collaborate with the state's LDCs and all interested persons to develop choice programs for all residential and business customers.</w:t>
      </w:r>
    </w:p>
    <w:p>
      <w:pPr>
        <w:pStyle w:val="Normal"/>
        <w:rPr>
          <w:b/>
        </w:rPr>
      </w:pPr>
      <w:r>
        <w:rPr>
          <w:b/>
        </w:rPr>
      </w:r>
    </w:p>
    <w:p>
      <w:pPr>
        <w:pStyle w:val="Normal"/>
        <w:rPr/>
      </w:pPr>
      <w:r>
        <w:rPr>
          <w:b/>
        </w:rPr>
        <w:t>Northern filed comments August 14</w:t>
      </w:r>
      <w:r>
        <w:rPr>
          <w:b/>
          <w:vertAlign w:val="superscript"/>
        </w:rPr>
        <w:t>th</w:t>
      </w:r>
      <w:r>
        <w:rPr>
          <w:b/>
        </w:rPr>
        <w:t xml:space="preserve">.  The final meeting in September ended with a consensus to carve out medium to smaller sized LDCs, leaving just the state's two largest utilities, Consumers Energy and MichCon--representing about 94% of the total customers in the state--as the focus of that particular proceeding.  </w:t>
      </w:r>
    </w:p>
    <w:p>
      <w:pPr>
        <w:pStyle w:val="Normal"/>
        <w:rPr>
          <w:b/>
        </w:rPr>
      </w:pPr>
      <w:r>
        <w:rPr>
          <w:b/>
        </w:rPr>
      </w:r>
    </w:p>
    <w:p>
      <w:pPr>
        <w:pStyle w:val="Normal"/>
        <w:rPr>
          <w:b/>
        </w:rPr>
      </w:pPr>
      <w:r>
        <w:rPr>
          <w:b/>
        </w:rPr>
        <w:t>An October final order adopted larger LDCs' permanent customer choice plans, exempted small utilities (including Xcel and Peninsular) from plan-filing requirements (but encouraged them to voluntarily develop choice plans on their own timetable) and initiated an additional proceeding for the two medium sized utilities, SEMCO and Michigan Gas Utilities.  On January 16 the MPUC invited comments on proposals submitted by SEMCO and MGU.  Northern filed comments in this phase of the proceeding February 1.</w:t>
      </w:r>
    </w:p>
    <w:p>
      <w:pPr>
        <w:pStyle w:val="Normal"/>
        <w:rPr>
          <w:b/>
        </w:rPr>
      </w:pPr>
      <w:r>
        <w:rPr>
          <w:b/>
        </w:rPr>
      </w:r>
    </w:p>
    <w:p>
      <w:pPr>
        <w:pStyle w:val="Normal"/>
        <w:rPr>
          <w:b/>
        </w:rPr>
      </w:pPr>
      <w:r>
        <w:rPr>
          <w:b/>
        </w:rPr>
        <w:t>On July 3 the MPSC staff issued a memo asking interested parties for comments on a number of issues related to the SEMCO proposal by July 20.  Northern filed comments.  A collaborative meeting to review the issues was scheduled for August 2, 2001.</w:t>
      </w:r>
    </w:p>
    <w:p>
      <w:pPr>
        <w:pStyle w:val="Normal"/>
        <w:rPr>
          <w:b/>
          <w:i/>
          <w:i/>
        </w:rPr>
      </w:pPr>
      <w:r>
        <w:rPr>
          <w:b/>
          <w:i/>
        </w:rPr>
      </w:r>
    </w:p>
    <w:p>
      <w:pPr>
        <w:pStyle w:val="Normal"/>
        <w:rPr>
          <w:b/>
          <w:i/>
          <w:i/>
        </w:rPr>
      </w:pPr>
      <w:r>
        <w:rPr>
          <w:b/>
          <w:i/>
        </w:rPr>
      </w:r>
    </w:p>
    <w:p>
      <w:pPr>
        <w:pStyle w:val="Normal"/>
        <w:rPr>
          <w:b/>
          <w:i/>
          <w:i/>
        </w:rPr>
      </w:pPr>
      <w:r>
        <w:rPr>
          <w:b/>
          <w:i/>
        </w:rPr>
        <w:t>Background</w:t>
      </w:r>
    </w:p>
    <w:p>
      <w:pPr>
        <w:pStyle w:val="Normal"/>
        <w:rPr/>
      </w:pPr>
      <w:r>
        <w:rPr/>
      </w:r>
    </w:p>
    <w:p>
      <w:pPr>
        <w:pStyle w:val="Normal"/>
        <w:rPr/>
      </w:pPr>
      <w:r>
        <w:rPr/>
        <w:t>The MPSC issued an order in January 1996 to investigate the expansion of gas transportation service (Docket No. U-11017).  NNG participated in a number of informal meetings leading up to this order.  Testimony was invited and numerous parties, including Northern, filed comments.   A</w:t>
      </w:r>
      <w:r>
        <w:rPr>
          <w:b/>
          <w:i/>
        </w:rPr>
        <w:t xml:space="preserve"> </w:t>
      </w:r>
      <w:r>
        <w:rPr/>
        <w:t>PSC staff letter in October 1996 stated that several larger LDCs had agreed to file pilots that would be effective in the spring of 1997. On Northern's system Peninsular Gas and NSP-W’s Michigan operations were deemed too small for pilots but Michigan Gas indicated it would eventually propose a pilot.  Shortly thereafter the PSC issued an order endorsing the LDCs' pilots and closing the docket.  Michigan Gas later merged with SEMCO Energy.  SEMCO initiated a pilot project that began in April 1999.  There was no participation on the portion of SEMCO's system served by Northern.</w:t>
      </w:r>
      <w:r>
        <w:br w:type="page"/>
      </w:r>
    </w:p>
    <w:p>
      <w:pPr>
        <w:pStyle w:val="Normal"/>
        <w:jc w:val="center"/>
        <w:rPr>
          <w:b/>
          <w:sz w:val="40"/>
          <w:u w:val="single"/>
        </w:rPr>
      </w:pPr>
      <w:bookmarkStart w:id="13" w:name="_Hlk520701016"/>
      <w:bookmarkEnd w:id="13"/>
      <w:r>
        <w:rPr>
          <w:b/>
          <w:sz w:val="40"/>
          <w:u w:val="single"/>
        </w:rPr>
        <w:t>South Dakota</w:t>
      </w:r>
    </w:p>
    <w:p>
      <w:pPr>
        <w:pStyle w:val="Normal"/>
        <w:jc w:val="center"/>
        <w:rPr>
          <w:b/>
          <w:sz w:val="40"/>
          <w:u w:val="single"/>
        </w:rPr>
      </w:pPr>
      <w:r>
        <w:rPr>
          <w:b/>
          <w:sz w:val="40"/>
          <w:u w:val="single"/>
        </w:rPr>
      </w:r>
      <w:bookmarkStart w:id="14" w:name="_Hlk520701016"/>
      <w:bookmarkStart w:id="15" w:name="_Hlk520701016"/>
      <w:bookmarkEnd w:id="15"/>
    </w:p>
    <w:p>
      <w:pPr>
        <w:pStyle w:val="Normal"/>
        <w:jc w:val="center"/>
        <w:rPr>
          <w:b/>
          <w:sz w:val="52"/>
          <w:u w:val="single"/>
        </w:rPr>
      </w:pPr>
      <w:hyperlink w:anchor="_Hlk520700310">
        <w:r>
          <w:rPr>
            <w:rStyle w:val="Hyperlink"/>
          </w:rPr>
          <w:t>Table of Contents</w:t>
        </w:r>
      </w:hyperlink>
    </w:p>
    <w:p>
      <w:pPr>
        <w:pStyle w:val="Normal"/>
        <w:jc w:val="center"/>
        <w:rPr>
          <w:b/>
          <w:sz w:val="52"/>
          <w:u w:val="single"/>
        </w:rPr>
      </w:pPr>
      <w:r>
        <w:rPr>
          <w:b/>
          <w:sz w:val="52"/>
          <w:u w:val="single"/>
        </w:rPr>
      </w:r>
    </w:p>
    <w:p>
      <w:pPr>
        <w:pStyle w:val="Normal"/>
        <w:rPr>
          <w:b/>
          <w:i/>
          <w:i/>
        </w:rPr>
      </w:pPr>
      <w:r>
        <w:rPr>
          <w:b/>
          <w:i/>
        </w:rPr>
        <w:t>Most Recent Activity</w:t>
      </w:r>
    </w:p>
    <w:p>
      <w:pPr>
        <w:pStyle w:val="Normal"/>
        <w:rPr>
          <w:b/>
          <w:i/>
          <w:i/>
        </w:rPr>
      </w:pPr>
      <w:r>
        <w:rPr>
          <w:b/>
          <w:i/>
        </w:rPr>
      </w:r>
    </w:p>
    <w:p>
      <w:pPr>
        <w:pStyle w:val="Normal"/>
        <w:rPr/>
      </w:pPr>
      <w:r>
        <w:rPr/>
        <w:t>In September 1997 the South Dakota PUC rejected proposed rules relating to standards of conduct for utilities and their marketing affiliates.  The action was based on the fact that there had been no complaints regarding abuse of affiliate relationships.</w:t>
      </w:r>
    </w:p>
    <w:p>
      <w:pPr>
        <w:pStyle w:val="Normal"/>
        <w:rPr/>
      </w:pPr>
      <w:r>
        <w:rPr/>
      </w:r>
    </w:p>
    <w:p>
      <w:pPr>
        <w:pStyle w:val="Normal"/>
        <w:rPr>
          <w:b/>
          <w:u w:val="single"/>
        </w:rPr>
      </w:pPr>
      <w:r>
        <w:rPr>
          <w:b/>
          <w:u w:val="single"/>
        </w:rPr>
      </w:r>
    </w:p>
    <w:p>
      <w:pPr>
        <w:pStyle w:val="Normal"/>
        <w:rPr>
          <w:b/>
          <w:i/>
          <w:i/>
        </w:rPr>
      </w:pPr>
      <w:r>
        <w:rPr>
          <w:b/>
          <w:i/>
        </w:rPr>
        <w:t>Background</w:t>
      </w:r>
    </w:p>
    <w:p>
      <w:pPr>
        <w:pStyle w:val="Normal"/>
        <w:rPr>
          <w:b/>
          <w:i/>
          <w:i/>
        </w:rPr>
      </w:pPr>
      <w:r>
        <w:rPr>
          <w:b/>
          <w:i/>
        </w:rPr>
      </w:r>
    </w:p>
    <w:p>
      <w:pPr>
        <w:pStyle w:val="LINENO"/>
        <w:keepNext w:val="false"/>
        <w:keepLines w:val="false"/>
        <w:tabs>
          <w:tab w:val="clear" w:pos="4320"/>
          <w:tab w:val="clear" w:pos="5760"/>
        </w:tabs>
        <w:spacing w:lineRule="auto" w:line="240"/>
        <w:rPr>
          <w:b/>
        </w:rPr>
      </w:pPr>
      <w:r>
        <w:rPr>
          <w:b/>
        </w:rPr>
        <w:t>Unbundled natural gas service with no minimum volume requirements has been available for some residential customers since the mid-1990s but a lack of marketer participation in South Dakota has made it generally impractical for most. The two distributors that have offered transportation service with no minimum volume requirements are MidAmerican Energy Company and NorthWestern Public Service. Montana-Dakota Utilities also has offered transportation service, but the minimum requirement of 2.5 million Btu per hour has made it impractical for residential and other small-volume customers.</w:t>
      </w:r>
    </w:p>
    <w:p>
      <w:pPr>
        <w:pStyle w:val="Normal"/>
        <w:rPr>
          <w:b/>
        </w:rPr>
      </w:pPr>
      <w:r>
        <w:rPr>
          <w:b/>
        </w:rPr>
      </w:r>
    </w:p>
    <w:p>
      <w:pPr>
        <w:pStyle w:val="Normal"/>
        <w:rPr/>
      </w:pPr>
      <w:r>
        <w:rPr/>
        <w:t>In August 1996 the SDPUC directed staff to draft rules that were eventually proposed in Docket No. RM97-002 to establish standards of conduct for local distribution companies, their agency businesses and affiliated marketing entities. The proposed rules were provided to interested parties, and a hearing was held in August 1997.  Interested parties filed comments following the hearing.</w:t>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0"/>
        </w:rPr>
      </w:pPr>
      <w:r>
        <w:rPr>
          <w:b/>
          <w:sz w:val="40"/>
        </w:rPr>
        <w:t>Transwestern Pipeline Company</w:t>
      </w:r>
    </w:p>
    <w:p>
      <w:pPr>
        <w:pStyle w:val="Normal"/>
        <w:jc w:val="center"/>
        <w:rPr>
          <w:b/>
          <w:sz w:val="40"/>
        </w:rPr>
      </w:pPr>
      <w:r>
        <w:rPr>
          <w:b/>
          <w:sz w:val="40"/>
        </w:rPr>
      </w:r>
    </w:p>
    <w:p>
      <w:pPr>
        <w:pStyle w:val="Normal"/>
        <w:jc w:val="center"/>
        <w:rPr>
          <w:b/>
          <w:sz w:val="52"/>
        </w:rPr>
      </w:pPr>
      <w:r>
        <w:rPr>
          <w:b/>
          <w:sz w:val="40"/>
        </w:rPr>
        <w:t>System</w:t>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r>
      <w:r>
        <w:br w:type="page"/>
      </w:r>
    </w:p>
    <w:p>
      <w:pPr>
        <w:pStyle w:val="Normal"/>
        <w:jc w:val="center"/>
        <w:rPr>
          <w:b/>
          <w:sz w:val="40"/>
          <w:u w:val="single"/>
        </w:rPr>
      </w:pPr>
      <w:bookmarkStart w:id="16" w:name="_Hlk520701126"/>
      <w:r>
        <w:rPr>
          <w:b/>
          <w:sz w:val="40"/>
          <w:u w:val="single"/>
        </w:rPr>
        <w:t>Arizona</w:t>
      </w:r>
      <w:bookmarkEnd w:id="16"/>
    </w:p>
    <w:p>
      <w:pPr>
        <w:pStyle w:val="Normal"/>
        <w:jc w:val="center"/>
        <w:rPr>
          <w:b/>
          <w:sz w:val="40"/>
          <w:u w:val="single"/>
        </w:rPr>
      </w:pPr>
      <w:r>
        <w:rPr>
          <w:b/>
          <w:sz w:val="40"/>
          <w:u w:val="single"/>
        </w:rPr>
      </w:r>
    </w:p>
    <w:p>
      <w:pPr>
        <w:pStyle w:val="Normal"/>
        <w:jc w:val="center"/>
        <w:rPr>
          <w:b/>
          <w:sz w:val="40"/>
          <w:u w:val="single"/>
        </w:rPr>
      </w:pPr>
      <w:hyperlink w:anchor="_Hlk520700310">
        <w:r>
          <w:rPr>
            <w:rStyle w:val="Hyperlink"/>
          </w:rPr>
          <w:t>Table of Contents</w:t>
        </w:r>
      </w:hyperlink>
    </w:p>
    <w:p>
      <w:pPr>
        <w:pStyle w:val="Normal"/>
        <w:rPr>
          <w:b/>
          <w:sz w:val="40"/>
          <w:u w:val="single"/>
        </w:rPr>
      </w:pPr>
      <w:r>
        <w:rPr>
          <w:b/>
          <w:sz w:val="40"/>
          <w:u w:val="single"/>
        </w:rPr>
      </w:r>
    </w:p>
    <w:p>
      <w:pPr>
        <w:pStyle w:val="Normal"/>
        <w:rPr>
          <w:b/>
          <w:u w:val="single"/>
        </w:rPr>
      </w:pPr>
      <w:r>
        <w:rPr>
          <w:b/>
          <w:u w:val="single"/>
        </w:rPr>
      </w:r>
    </w:p>
    <w:p>
      <w:pPr>
        <w:pStyle w:val="Normal"/>
        <w:rPr>
          <w:b/>
          <w:i/>
          <w:i/>
        </w:rPr>
      </w:pPr>
      <w:r>
        <w:rPr>
          <w:b/>
          <w:i/>
        </w:rPr>
        <w:t>Most Recent Activity</w:t>
      </w:r>
    </w:p>
    <w:p>
      <w:pPr>
        <w:pStyle w:val="Normal"/>
        <w:rPr>
          <w:b/>
          <w:i/>
          <w:i/>
        </w:rPr>
      </w:pPr>
      <w:r>
        <w:rPr>
          <w:b/>
          <w:i/>
        </w:rPr>
      </w:r>
    </w:p>
    <w:p>
      <w:pPr>
        <w:pStyle w:val="BodyText"/>
        <w:rPr/>
      </w:pPr>
      <w:r>
        <w:rPr/>
        <w:t>No retail unbundling program for natural gas is actively being considered at this time by either the Arizona Corporation Commission or the state legislature. Only large-volume industrial and commercial customers have access to unbundled service.</w:t>
      </w:r>
    </w:p>
    <w:p>
      <w:pPr>
        <w:pStyle w:val="Normal"/>
        <w:rPr/>
      </w:pPr>
      <w:r>
        <w:rPr/>
      </w:r>
    </w:p>
    <w:p>
      <w:pPr>
        <w:pStyle w:val="Normal"/>
        <w:rPr>
          <w:b/>
          <w:i/>
          <w:i/>
        </w:rPr>
      </w:pPr>
      <w:r>
        <w:rPr>
          <w:b/>
          <w:i/>
        </w:rPr>
        <w:t>Background</w:t>
      </w:r>
    </w:p>
    <w:p>
      <w:pPr>
        <w:pStyle w:val="Normal"/>
        <w:rPr/>
      </w:pPr>
      <w:r>
        <w:rPr/>
      </w:r>
    </w:p>
    <w:p>
      <w:pPr>
        <w:pStyle w:val="Normal"/>
        <w:rPr/>
      </w:pPr>
      <w:r>
        <w:rPr/>
        <w:t xml:space="preserve">A Southwest Gas unbundling docket (G-015551A-98-0378) was opened in July 1998 for the purpose of reviewing proposed tariff changes and establishing a timetable for complete unbundling.  The docket was suspended in August 1998 and again in January 1999.  </w:t>
      </w:r>
      <w:r>
        <w:rPr>
          <w:b/>
        </w:rPr>
        <w:t>In June 1999, Southwest Gas withdrew the plan and filed a scaled-down proposal that provided for increased aggregation services.  This plan was approved by the ACC.</w:t>
      </w:r>
    </w:p>
    <w:p>
      <w:pPr>
        <w:pStyle w:val="Normal"/>
        <w:rPr>
          <w:b/>
        </w:rPr>
      </w:pPr>
      <w:r>
        <w:rPr>
          <w:b/>
        </w:rPr>
      </w:r>
    </w:p>
    <w:p>
      <w:pPr>
        <w:pStyle w:val="Normal"/>
        <w:rPr/>
      </w:pPr>
      <w:r>
        <w:rPr/>
      </w:r>
    </w:p>
    <w:p>
      <w:pPr>
        <w:pStyle w:val="Normal"/>
        <w:rPr/>
      </w:pPr>
      <w:r>
        <w:rPr/>
        <w:t>On May 18, 1998 Enron Energy Services petitioned the Arizona Corporation Commission to</w:t>
      </w:r>
    </w:p>
    <w:p>
      <w:pPr>
        <w:pStyle w:val="Normal"/>
        <w:rPr/>
      </w:pPr>
      <w:r>
        <w:rPr/>
        <w:t xml:space="preserve">open a Generic Investigation and institute a rulemaking to address competition on the Natural Gas Industry.  No action has been taken on the petition, </w:t>
      </w:r>
      <w:r>
        <w:rPr>
          <w:b/>
        </w:rPr>
        <w:t>which was assigned Docket No. G-00000D-98-0258 and still is carried on the Utilities Division's "Pending Matters Report."</w:t>
      </w:r>
    </w:p>
    <w:p>
      <w:pPr>
        <w:pStyle w:val="Normal"/>
        <w:rPr>
          <w:b/>
        </w:rPr>
      </w:pPr>
      <w:r>
        <w:rPr>
          <w:b/>
        </w:rPr>
      </w:r>
      <w:r>
        <w:br w:type="page"/>
      </w:r>
    </w:p>
    <w:p>
      <w:pPr>
        <w:pStyle w:val="Normal"/>
        <w:jc w:val="center"/>
        <w:rPr>
          <w:b/>
          <w:sz w:val="40"/>
          <w:u w:val="single"/>
        </w:rPr>
      </w:pPr>
      <w:bookmarkStart w:id="17" w:name="_Hlk520701305"/>
      <w:bookmarkEnd w:id="17"/>
      <w:r>
        <w:rPr>
          <w:b/>
          <w:sz w:val="40"/>
          <w:u w:val="single"/>
        </w:rPr>
        <w:t>California</w:t>
      </w:r>
    </w:p>
    <w:p>
      <w:pPr>
        <w:pStyle w:val="Normal"/>
        <w:jc w:val="center"/>
        <w:rPr>
          <w:b/>
          <w:sz w:val="40"/>
          <w:u w:val="single"/>
        </w:rPr>
      </w:pPr>
      <w:r>
        <w:rPr>
          <w:b/>
          <w:sz w:val="40"/>
          <w:u w:val="single"/>
        </w:rPr>
      </w:r>
      <w:bookmarkStart w:id="18" w:name="_Hlk520701305"/>
      <w:bookmarkStart w:id="19" w:name="_Hlk520701305"/>
      <w:bookmarkEnd w:id="19"/>
    </w:p>
    <w:p>
      <w:pPr>
        <w:pStyle w:val="Normal"/>
        <w:jc w:val="center"/>
        <w:rPr>
          <w:b/>
          <w:u w:val="single"/>
        </w:rPr>
      </w:pPr>
      <w:hyperlink w:anchor="_Hlk520700310">
        <w:r>
          <w:rPr>
            <w:rStyle w:val="Hyperlink"/>
          </w:rPr>
          <w:t>Table of Contents</w:t>
        </w:r>
      </w:hyperlink>
    </w:p>
    <w:p>
      <w:pPr>
        <w:pStyle w:val="Normal"/>
        <w:rPr>
          <w:b/>
          <w:i/>
          <w:i/>
          <w:u w:val="single"/>
        </w:rPr>
      </w:pPr>
      <w:r>
        <w:rPr>
          <w:b/>
          <w:i/>
          <w:u w:val="single"/>
        </w:rPr>
      </w:r>
    </w:p>
    <w:p>
      <w:pPr>
        <w:pStyle w:val="Normal"/>
        <w:rPr>
          <w:b/>
          <w:i/>
          <w:i/>
        </w:rPr>
      </w:pPr>
      <w:r>
        <w:rPr>
          <w:b/>
          <w:i/>
        </w:rPr>
      </w:r>
    </w:p>
    <w:p>
      <w:pPr>
        <w:pStyle w:val="Normal"/>
        <w:rPr>
          <w:b/>
          <w:i/>
          <w:i/>
        </w:rPr>
      </w:pPr>
      <w:r>
        <w:rPr>
          <w:b/>
          <w:i/>
        </w:rPr>
        <w:t>Most Recent Activity</w:t>
      </w:r>
    </w:p>
    <w:p>
      <w:pPr>
        <w:pStyle w:val="Normal"/>
        <w:rPr>
          <w:b/>
          <w:i/>
          <w:i/>
        </w:rPr>
      </w:pPr>
      <w:r>
        <w:rPr>
          <w:b/>
          <w:i/>
        </w:rPr>
      </w:r>
    </w:p>
    <w:p>
      <w:pPr>
        <w:pStyle w:val="Normal"/>
        <w:rPr>
          <w:b/>
        </w:rPr>
      </w:pPr>
      <w:r>
        <w:rPr>
          <w:b/>
        </w:rPr>
        <w:t>The California Public Utilities Commission (CPUC) in May 2000 approved a settlement implementing market-oriented changes on the Pacific Gas and Electric Company system.  Three competing proposed settlements for the Southern California Gas and San Diego Gas and Electric systems have been before the Commission for over a year.  The Commission heard presentations on the proposals at a May 22 full panel hearing.</w:t>
      </w:r>
    </w:p>
    <w:p>
      <w:pPr>
        <w:pStyle w:val="Normal"/>
        <w:rPr>
          <w:b/>
          <w:i/>
          <w:i/>
        </w:rPr>
      </w:pPr>
      <w:r>
        <w:rPr>
          <w:b/>
          <w:i/>
        </w:rPr>
      </w:r>
    </w:p>
    <w:p>
      <w:pPr>
        <w:pStyle w:val="Normal"/>
        <w:rPr>
          <w:b/>
          <w:i/>
          <w:i/>
        </w:rPr>
      </w:pPr>
      <w:r>
        <w:rPr>
          <w:b/>
          <w:i/>
        </w:rPr>
        <w:t>Background</w:t>
      </w:r>
    </w:p>
    <w:p>
      <w:pPr>
        <w:pStyle w:val="Normal"/>
        <w:jc w:val="center"/>
        <w:rPr>
          <w:b/>
          <w:i/>
          <w:i/>
        </w:rPr>
      </w:pPr>
      <w:r>
        <w:rPr>
          <w:b/>
          <w:i/>
        </w:rPr>
      </w:r>
    </w:p>
    <w:p>
      <w:pPr>
        <w:pStyle w:val="Normal"/>
        <w:rPr/>
      </w:pPr>
      <w:r>
        <w:rPr/>
        <w:t>In January 1998 the CPUC initiated a rulemaking (Docket No. R98-01-011) to assess the current market and regulatory framework for California's natural gas industry and to adopt reforms that emphasize market-oriented policies that would benefit all California natural gas consumers.  The California Legislature in August 1998 passed a law prohibiting the CPUC from doing any natural gas restructuring until after January 1, 2000. It also stated that any natural gas restructuring decisions for core customers issued after July 1, 1998 would not be enforced.</w:t>
      </w:r>
    </w:p>
    <w:p>
      <w:pPr>
        <w:pStyle w:val="Normal"/>
        <w:rPr/>
      </w:pPr>
      <w:r>
        <w:rPr/>
      </w:r>
    </w:p>
    <w:p>
      <w:pPr>
        <w:pStyle w:val="sub1"/>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 xml:space="preserve">In response to this legislation the Commission in October 1998 set a new procedural schedule.  In January 1999 two weeks of panel-style hearings held to hear options and proposals for hub, storage, balancing, transmission, and core procurement services.  </w:t>
      </w:r>
    </w:p>
    <w:p>
      <w:pPr>
        <w:pStyle w:val="sub1"/>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In July 1999, the Commission issued a decision that identified the most promising options for changes to the regulatory and market structure of the natural gas industry.  R98-01-011 was closed.  The same day an Order Instituting Investigation was issued opening Docket No. I99-07-003.</w:t>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 xml:space="preserve">The I99-07-003 order designated the proceeding as a ratesetting case appropriate for hearing.  The order asked parties to prepare more detailed analyses of the costs and benefits of the promising options, but allowed a short hiatus for exploring the possibility of settlement before prepared testimony was due.  </w:t>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Meanwhile, the 1999 Legislature repealed the 1998 law that had halted the Commission's restructuring program until January 1, 2000.  In its place the Legislature substituted statutes clarifying its intent that the utilities continue to serve the core customers with bundled services.</w:t>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The case proceeded on two tracks, one for the PG&amp;E system, and one for the SoCalGas and SDG&amp;E systems.</w:t>
      </w:r>
    </w:p>
    <w:p>
      <w:pPr>
        <w:pStyle w:val="Normal"/>
        <w:rPr>
          <w:rFonts w:ascii="Times New Roman" w:hAnsi="Times New Roman" w:cs="Times New Roman"/>
          <w:b/>
          <w:color w:val="000000"/>
          <w:sz w:val="24"/>
        </w:rPr>
      </w:pPr>
      <w:r>
        <w:rPr>
          <w:rFonts w:cs="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On January 28, 2000 a comprehensive settlement for PG&amp;E was filed and approved by the Commission the following May.  The comprehensive settlement addressed self-balancing options, electronic trading of imbalances and imbalance rights, core aggregation thresholds, unbundled utility core storage, treatment of PG&amp;E’s Core Procurement Department, secondary market trading by electronic bulletin board, provision of customer-specific data, metering pilot programs, and implementation costs.</w:t>
      </w:r>
    </w:p>
    <w:p>
      <w:pPr>
        <w:pStyle w:val="Normal"/>
        <w:rPr>
          <w:rFonts w:ascii="Times New Roman" w:hAnsi="Times New Roman" w:cs="Times New Roman"/>
          <w:b/>
          <w:color w:val="000000"/>
          <w:sz w:val="24"/>
        </w:rPr>
      </w:pPr>
      <w:r>
        <w:rPr>
          <w:rFonts w:cs="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The Southern California Gas Company settlement discussions proved more difficult.  In December 1999 an "Interim Settlement" (IS), supported by SoCalGas and SDG&amp;E as well as 20 other parties, was filed.  In January 2000, three other proposed settlements and one proposal for consolidating settlements were filed.  The Commission directed by the parties to go back to the negotiating table to try to consolidate the proposals by April 3, 2000.</w:t>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 xml:space="preserve">On that date, the three settlements filed on January 28 were withdrawn, but a new settlement--designated the "Post-Interim Settlement Agreement" (PI)--to which SoCalGas and SDG&amp;E were not parties was filed.  SoCalGas asked for, and received, more time to complete another settlement proposal.  </w:t>
      </w:r>
    </w:p>
    <w:p>
      <w:pPr>
        <w:pStyle w:val="standard"/>
        <w:spacing w:lineRule="auto" w:line="240"/>
        <w:rPr>
          <w:rFonts w:ascii="Times New Roman" w:hAnsi="Times New Roman" w:cs="Times New Roman"/>
          <w:b/>
          <w:color w:val="000000"/>
          <w:sz w:val="24"/>
        </w:rPr>
      </w:pPr>
      <w:r>
        <w:rPr>
          <w:rFonts w:cs="Times New Roman" w:ascii="Times New Roman" w:hAnsi="Times New Roman"/>
          <w:b/>
          <w:color w:val="000000"/>
          <w:sz w:val="24"/>
        </w:rPr>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t xml:space="preserve">On April 17, 2000, SoCalGas, SDG&amp;E and approximately 26 other parties filed what was labeled the "Comprehensive Settlement" (CS). That put three settlements into play: the IS, the PI and the CS.  Eight days of hearings were held from May 30 to June 8, 2000. </w:t>
      </w:r>
    </w:p>
    <w:p>
      <w:pPr>
        <w:pStyle w:val="standard"/>
        <w:spacing w:lineRule="auto" w:line="240"/>
        <w:ind w:hanging="0" w:end="0"/>
        <w:rPr>
          <w:rFonts w:ascii="Times New Roman" w:hAnsi="Times New Roman" w:cs="Times New Roman"/>
          <w:b/>
          <w:color w:val="000000"/>
          <w:sz w:val="24"/>
        </w:rPr>
      </w:pPr>
      <w:r>
        <w:rPr>
          <w:rFonts w:cs="Times New Roman" w:ascii="Times New Roman" w:hAnsi="Times New Roman"/>
          <w:b/>
          <w:color w:val="000000"/>
          <w:sz w:val="24"/>
        </w:rPr>
      </w:r>
    </w:p>
    <w:p>
      <w:pPr>
        <w:pStyle w:val="BodyText2"/>
        <w:spacing w:lineRule="auto" w:line="240"/>
        <w:ind w:hanging="0" w:start="0" w:end="0"/>
        <w:rPr>
          <w:rFonts w:ascii="Times New Roman" w:hAnsi="Times New Roman" w:cs="Times New Roman"/>
          <w:b/>
          <w:color w:val="000000"/>
          <w:sz w:val="24"/>
        </w:rPr>
      </w:pPr>
      <w:r>
        <w:rPr>
          <w:rFonts w:cs="Times New Roman" w:ascii="Times New Roman" w:hAnsi="Times New Roman"/>
          <w:b/>
          <w:color w:val="000000"/>
          <w:sz w:val="24"/>
        </w:rPr>
        <w:t xml:space="preserve">On November 21, 2000, the proposed decision (PD) of Commissioner Bilas was mailed to the parties of record in this proceeding.  While the PD addresses proposed changes to the regulatory and market structure of the natural gas system for Southern California Gas Company the proposed changes would also affect some of the operations of San Diego Gas &amp; Electric Company.  </w:t>
      </w:r>
    </w:p>
    <w:p>
      <w:pPr>
        <w:pStyle w:val="BodyText2"/>
        <w:spacing w:lineRule="auto" w:line="240"/>
        <w:ind w:hanging="0" w:start="0" w:end="0"/>
        <w:rPr>
          <w:rFonts w:ascii="Times New Roman" w:hAnsi="Times New Roman" w:cs="Times New Roman"/>
          <w:b/>
          <w:color w:val="000000"/>
          <w:sz w:val="24"/>
        </w:rPr>
      </w:pPr>
      <w:r>
        <w:rPr>
          <w:rFonts w:cs="Times New Roman" w:ascii="Times New Roman" w:hAnsi="Times New Roman"/>
          <w:b/>
          <w:color w:val="000000"/>
          <w:sz w:val="24"/>
        </w:rPr>
      </w:r>
    </w:p>
    <w:p>
      <w:pPr>
        <w:pStyle w:val="BodyText2"/>
        <w:spacing w:lineRule="auto" w:line="240"/>
        <w:ind w:hanging="0" w:start="0" w:end="0"/>
        <w:rPr>
          <w:rFonts w:ascii="Times New Roman" w:hAnsi="Times New Roman" w:cs="Times New Roman"/>
          <w:b/>
          <w:color w:val="000000"/>
          <w:sz w:val="24"/>
        </w:rPr>
      </w:pPr>
      <w:r>
        <w:rPr>
          <w:rFonts w:cs="Times New Roman" w:ascii="Times New Roman" w:hAnsi="Times New Roman"/>
          <w:b/>
          <w:color w:val="000000"/>
          <w:sz w:val="24"/>
        </w:rPr>
        <w:t>The PD originally appeared on the Commission’s December 21, 2000 agenda and has been held over to subsequent meetings. Due to the passage of time and the changes that occurred in the natural gas markets since the hearings concluded, it was decided that a full panel hearing be held to address the issues contained in the PD.  Therefore, a full panel hearing was held on May 22, 2001. (See above)</w:t>
      </w:r>
    </w:p>
    <w:p>
      <w:pPr>
        <w:pStyle w:val="Normal"/>
        <w:rPr>
          <w:rFonts w:ascii="Times New Roman" w:hAnsi="Times New Roman" w:cs="Times New Roman"/>
          <w:b/>
          <w:color w:val="000000"/>
          <w:sz w:val="24"/>
        </w:rPr>
      </w:pPr>
      <w:r>
        <w:rPr>
          <w:rFonts w:cs="Times New Roman"/>
          <w:b/>
          <w:color w:val="000000"/>
          <w:sz w:val="24"/>
        </w:rPr>
      </w:r>
    </w:p>
    <w:p>
      <w:pPr>
        <w:pStyle w:val="Normal"/>
        <w:rPr>
          <w:b/>
        </w:rPr>
      </w:pPr>
      <w:r>
        <w:rPr>
          <w:b/>
        </w:rPr>
        <w:t>At a May 22, 2001 full panel Commission hearing presenters including Transwestern and EES/ENA generally supported the alternative Comprehensive Settlement (CS) instead of the Interim Settlement as modified by the Proposed Decision (PD).  Support for the PD and opposition to the CS came from the generators.</w:t>
      </w:r>
    </w:p>
    <w:p>
      <w:pPr>
        <w:pStyle w:val="Normal"/>
        <w:rPr>
          <w:b/>
          <w:color w:val="00FF00"/>
        </w:rPr>
      </w:pPr>
      <w:r>
        <w:rPr>
          <w:b/>
          <w:color w:val="00FF00"/>
        </w:rPr>
      </w:r>
    </w:p>
    <w:p>
      <w:pPr>
        <w:pStyle w:val="Normal"/>
        <w:rPr>
          <w:color w:val="0000FF"/>
        </w:rPr>
      </w:pPr>
      <w:r>
        <w:rPr>
          <w:color w:val="0000FF"/>
        </w:rPr>
      </w:r>
    </w:p>
    <w:p>
      <w:pPr>
        <w:pStyle w:val="Normal"/>
        <w:jc w:val="center"/>
        <w:rPr>
          <w:b/>
          <w:color w:val="0000FF"/>
          <w:sz w:val="40"/>
          <w:u w:val="single"/>
        </w:rPr>
      </w:pPr>
      <w:r>
        <w:rPr>
          <w:b/>
          <w:color w:val="0000FF"/>
          <w:sz w:val="40"/>
          <w:u w:val="single"/>
        </w:rPr>
      </w:r>
    </w:p>
    <w:p>
      <w:pPr>
        <w:pStyle w:val="Normal"/>
        <w:jc w:val="center"/>
        <w:rPr>
          <w:b/>
          <w:sz w:val="52"/>
          <w:u w:val="single"/>
        </w:rPr>
      </w:pPr>
      <w:r>
        <w:rPr>
          <w:b/>
          <w:sz w:val="52"/>
          <w:u w:val="single"/>
        </w:rPr>
      </w:r>
    </w:p>
    <w:p>
      <w:pPr>
        <w:pStyle w:val="Normal"/>
        <w:rPr>
          <w:b/>
          <w:sz w:val="52"/>
          <w:u w:val="single"/>
        </w:rPr>
      </w:pPr>
      <w:r>
        <w:rPr>
          <w:b/>
          <w:sz w:val="52"/>
          <w:u w:val="single"/>
        </w:rPr>
      </w:r>
      <w:r>
        <w:br w:type="page"/>
      </w:r>
    </w:p>
    <w:p>
      <w:pPr>
        <w:pStyle w:val="Normal"/>
        <w:jc w:val="center"/>
        <w:rPr>
          <w:b/>
          <w:sz w:val="40"/>
          <w:u w:val="single"/>
        </w:rPr>
      </w:pPr>
      <w:bookmarkStart w:id="20" w:name="_Hlk520701574"/>
      <w:r>
        <w:rPr>
          <w:b/>
          <w:sz w:val="40"/>
          <w:u w:val="single"/>
        </w:rPr>
        <w:t>New Mexico</w:t>
      </w:r>
      <w:bookmarkEnd w:id="20"/>
    </w:p>
    <w:p>
      <w:pPr>
        <w:pStyle w:val="Normal"/>
        <w:jc w:val="center"/>
        <w:rPr>
          <w:b/>
          <w:sz w:val="40"/>
          <w:u w:val="single"/>
        </w:rPr>
      </w:pPr>
      <w:r>
        <w:rPr>
          <w:b/>
          <w:sz w:val="40"/>
          <w:u w:val="single"/>
        </w:rPr>
      </w:r>
    </w:p>
    <w:p>
      <w:pPr>
        <w:pStyle w:val="Normal"/>
        <w:jc w:val="center"/>
        <w:rPr>
          <w:b/>
          <w:sz w:val="40"/>
          <w:u w:val="single"/>
        </w:rPr>
      </w:pPr>
      <w:hyperlink w:anchor="_Hlk520700310">
        <w:r>
          <w:rPr>
            <w:rStyle w:val="Hyperlink"/>
          </w:rPr>
          <w:t>Table of Contents</w:t>
        </w:r>
      </w:hyperlink>
    </w:p>
    <w:p>
      <w:pPr>
        <w:pStyle w:val="Normal"/>
        <w:jc w:val="center"/>
        <w:rPr>
          <w:b/>
          <w:sz w:val="52"/>
          <w:u w:val="single"/>
        </w:rPr>
      </w:pPr>
      <w:r>
        <w:rPr>
          <w:b/>
          <w:sz w:val="52"/>
          <w:u w:val="single"/>
        </w:rPr>
      </w:r>
    </w:p>
    <w:p>
      <w:pPr>
        <w:pStyle w:val="Normal"/>
        <w:rPr>
          <w:b/>
          <w:i/>
          <w:i/>
        </w:rPr>
      </w:pPr>
      <w:r>
        <w:rPr>
          <w:b/>
          <w:i/>
        </w:rPr>
        <w:t>Most Recent Activity</w:t>
      </w:r>
    </w:p>
    <w:p>
      <w:pPr>
        <w:pStyle w:val="Normal"/>
        <w:rPr>
          <w:b/>
          <w:i/>
          <w:i/>
        </w:rPr>
      </w:pPr>
      <w:r>
        <w:rPr>
          <w:b/>
          <w:i/>
        </w:rPr>
      </w:r>
    </w:p>
    <w:p>
      <w:pPr>
        <w:pStyle w:val="Normal"/>
        <w:rPr>
          <w:b/>
        </w:rPr>
      </w:pPr>
      <w:r>
        <w:rPr>
          <w:b/>
        </w:rPr>
        <w:t>There has been no recent activity.</w:t>
      </w:r>
    </w:p>
    <w:p>
      <w:pPr>
        <w:pStyle w:val="Normal"/>
        <w:rPr>
          <w:b/>
          <w:u w:val="single"/>
        </w:rPr>
      </w:pPr>
      <w:r>
        <w:rPr>
          <w:b/>
          <w:u w:val="single"/>
        </w:rPr>
      </w:r>
    </w:p>
    <w:p>
      <w:pPr>
        <w:pStyle w:val="Normal"/>
        <w:rPr>
          <w:b/>
          <w:u w:val="single"/>
        </w:rPr>
      </w:pPr>
      <w:r>
        <w:rPr>
          <w:b/>
          <w:u w:val="single"/>
        </w:rPr>
      </w:r>
    </w:p>
    <w:p>
      <w:pPr>
        <w:pStyle w:val="Normal"/>
        <w:rPr>
          <w:b/>
          <w:i/>
          <w:i/>
        </w:rPr>
      </w:pPr>
      <w:r>
        <w:rPr>
          <w:b/>
          <w:i/>
        </w:rPr>
        <w:t>Background</w:t>
      </w:r>
    </w:p>
    <w:p>
      <w:pPr>
        <w:pStyle w:val="Normal"/>
        <w:rPr>
          <w:b/>
          <w:i/>
          <w:i/>
        </w:rPr>
      </w:pPr>
      <w:r>
        <w:rPr>
          <w:b/>
          <w:i/>
        </w:rPr>
      </w:r>
    </w:p>
    <w:p>
      <w:pPr>
        <w:pStyle w:val="Normal"/>
        <w:rPr/>
      </w:pPr>
      <w:r>
        <w:rPr>
          <w:b/>
        </w:rPr>
        <w:t>New Mexico has allowed unbundled gas service for all consumers since the late 1980s.</w:t>
      </w:r>
      <w:r>
        <w:rPr/>
        <w:t xml:space="preserve">  Marketers, however, have found it impossible to compete with the LDCs' prices.</w:t>
      </w:r>
    </w:p>
    <w:p>
      <w:pPr>
        <w:pStyle w:val="Normal"/>
        <w:rPr/>
      </w:pPr>
      <w:r>
        <w:rPr/>
      </w:r>
    </w:p>
    <w:p>
      <w:pPr>
        <w:pStyle w:val="Normal"/>
        <w:rPr/>
      </w:pPr>
      <w:r>
        <w:rPr/>
        <w:t xml:space="preserve">The New Mexico Public Utility Commission (now the Public Regulation Commission) approved a Public Service Company of New Mexico customer choice pilot in August 1997.  In early July 1998 the pilot was extended into 1999 but experienced difficulty attracting suppliers.  In late July 1998 Enron announced that it was pulling out of the residential program but would continue serving commercial and industrial customers in the program.  </w:t>
      </w:r>
    </w:p>
    <w:p>
      <w:pPr>
        <w:pStyle w:val="Normal"/>
        <w:rPr/>
      </w:pPr>
      <w:r>
        <w:rPr/>
      </w:r>
      <w:r>
        <w:br w:type="page"/>
      </w:r>
    </w:p>
    <w:p>
      <w:pPr>
        <w:pStyle w:val="Normal"/>
        <w:rPr/>
      </w:pPr>
      <w:r>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t>Florida Gas Transmission</w:t>
      </w:r>
    </w:p>
    <w:p>
      <w:pPr>
        <w:pStyle w:val="Normal"/>
        <w:jc w:val="center"/>
        <w:rPr>
          <w:b/>
          <w:sz w:val="40"/>
        </w:rPr>
      </w:pPr>
      <w:r>
        <w:rPr>
          <w:b/>
          <w:sz w:val="40"/>
        </w:rPr>
      </w:r>
    </w:p>
    <w:p>
      <w:pPr>
        <w:pStyle w:val="Normal"/>
        <w:jc w:val="center"/>
        <w:rPr>
          <w:b/>
          <w:sz w:val="52"/>
        </w:rPr>
      </w:pPr>
      <w:r>
        <w:rPr>
          <w:b/>
          <w:sz w:val="40"/>
        </w:rPr>
        <w:t>System</w:t>
      </w:r>
    </w:p>
    <w:p>
      <w:pPr>
        <w:pStyle w:val="Normal"/>
        <w:rPr>
          <w:b/>
          <w:sz w:val="52"/>
        </w:rPr>
      </w:pPr>
      <w:r>
        <w:rPr>
          <w:b/>
          <w:sz w:val="52"/>
        </w:rPr>
      </w:r>
      <w:r>
        <w:br w:type="page"/>
      </w:r>
    </w:p>
    <w:p>
      <w:pPr>
        <w:pStyle w:val="Normal"/>
        <w:jc w:val="center"/>
        <w:rPr>
          <w:b/>
          <w:sz w:val="40"/>
          <w:u w:val="single"/>
        </w:rPr>
      </w:pPr>
      <w:bookmarkStart w:id="21" w:name="_Hlk520701643"/>
      <w:r>
        <w:rPr>
          <w:b/>
          <w:sz w:val="40"/>
          <w:u w:val="single"/>
        </w:rPr>
        <w:t>Florida</w:t>
      </w:r>
      <w:bookmarkEnd w:id="21"/>
    </w:p>
    <w:p>
      <w:pPr>
        <w:pStyle w:val="Normal"/>
        <w:jc w:val="center"/>
        <w:rPr>
          <w:b/>
          <w:sz w:val="40"/>
          <w:u w:val="single"/>
        </w:rPr>
      </w:pPr>
      <w:r>
        <w:rPr>
          <w:b/>
          <w:sz w:val="40"/>
          <w:u w:val="single"/>
        </w:rPr>
      </w:r>
    </w:p>
    <w:p>
      <w:pPr>
        <w:pStyle w:val="Normal"/>
        <w:jc w:val="center"/>
        <w:rPr>
          <w:b/>
          <w:color w:val="0000FF"/>
          <w:sz w:val="40"/>
          <w:u w:val="single"/>
        </w:rPr>
      </w:pPr>
      <w:hyperlink w:anchor="_Hlk520700310">
        <w:r>
          <w:rPr>
            <w:rStyle w:val="Hyperlink"/>
          </w:rPr>
          <w:t>Table of Contents</w:t>
        </w:r>
      </w:hyperlink>
    </w:p>
    <w:p>
      <w:pPr>
        <w:pStyle w:val="Normal"/>
        <w:jc w:val="center"/>
        <w:rPr>
          <w:b/>
          <w:color w:val="0000FF"/>
          <w:sz w:val="40"/>
          <w:u w:val="single"/>
        </w:rPr>
      </w:pPr>
      <w:r>
        <w:rPr>
          <w:b/>
          <w:color w:val="0000FF"/>
          <w:sz w:val="40"/>
          <w:u w:val="single"/>
        </w:rPr>
      </w:r>
    </w:p>
    <w:p>
      <w:pPr>
        <w:pStyle w:val="Normal"/>
        <w:rPr>
          <w:b/>
          <w:i/>
          <w:i/>
        </w:rPr>
      </w:pPr>
      <w:r>
        <w:rPr>
          <w:b/>
          <w:i/>
        </w:rPr>
        <w:t>Most Recent Activity</w:t>
      </w:r>
    </w:p>
    <w:p>
      <w:pPr>
        <w:pStyle w:val="Normal"/>
        <w:rPr>
          <w:b/>
          <w:i/>
          <w:i/>
        </w:rPr>
      </w:pPr>
      <w:r>
        <w:rPr>
          <w:b/>
          <w:i/>
        </w:rPr>
      </w:r>
    </w:p>
    <w:p>
      <w:pPr>
        <w:pStyle w:val="Normal"/>
        <w:rPr>
          <w:b/>
          <w:i/>
          <w:i/>
        </w:rPr>
      </w:pPr>
      <w:r>
        <w:rPr>
          <w:b/>
        </w:rPr>
        <w:t>The governor issued an executive order (Executive Order 2000-127) in May 2000 creating a new Commission charged with proposing an energy plan and strategy for Florida. This initiative was named Florida Energy 2020. Florida Gas Transmission made a presentation to the commission May 31.</w:t>
      </w:r>
    </w:p>
    <w:p>
      <w:pPr>
        <w:pStyle w:val="Normal"/>
        <w:rPr>
          <w:b/>
          <w:i/>
          <w:i/>
        </w:rPr>
      </w:pPr>
      <w:r>
        <w:rPr>
          <w:b/>
          <w:i/>
        </w:rPr>
      </w:r>
    </w:p>
    <w:p>
      <w:pPr>
        <w:pStyle w:val="Normal"/>
        <w:rPr>
          <w:b/>
        </w:rPr>
      </w:pPr>
      <w:r>
        <w:rPr>
          <w:b/>
          <w:i/>
        </w:rPr>
        <w:t>Background</w:t>
      </w:r>
    </w:p>
    <w:p>
      <w:pPr>
        <w:pStyle w:val="Normal"/>
        <w:rPr>
          <w:b/>
        </w:rPr>
      </w:pPr>
      <w:r>
        <w:rPr>
          <w:b/>
        </w:rPr>
      </w:r>
    </w:p>
    <w:p>
      <w:pPr>
        <w:pStyle w:val="Normal"/>
        <w:rPr>
          <w:b/>
        </w:rPr>
      </w:pPr>
      <w:r>
        <w:rPr>
          <w:b/>
        </w:rPr>
        <w:t xml:space="preserve">In June 1996 the Florida Public Service Commission opened Docket No. 960725-GU, which addressed unbundled natural gas services.  A draft firm transportation service model tariff was issued in October 1997. </w:t>
      </w:r>
    </w:p>
    <w:p>
      <w:pPr>
        <w:pStyle w:val="Normal"/>
        <w:rPr>
          <w:b/>
        </w:rPr>
      </w:pPr>
      <w:r>
        <w:rPr>
          <w:b/>
        </w:rPr>
      </w:r>
    </w:p>
    <w:p>
      <w:pPr>
        <w:pStyle w:val="Normal"/>
        <w:rPr>
          <w:b/>
        </w:rPr>
      </w:pPr>
      <w:r>
        <w:rPr>
          <w:b/>
        </w:rPr>
        <w:t>In August 1999 the Commission rejected proposed rules that would have required LDCs to unbundle services for nonresidential customers by March 2000.  The PSC kept the docket open however and in April 2000 issued a final rule requiring LDCs to provide transportation services to all nonresidential customers and permitting, but not requiring them, to offer such services to residential customers.</w:t>
      </w:r>
      <w:r>
        <w:br w:type="page"/>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0"/>
        </w:rPr>
      </w:pPr>
      <w:r>
        <w:rPr>
          <w:b/>
          <w:sz w:val="40"/>
        </w:rPr>
      </w:r>
    </w:p>
    <w:p>
      <w:pPr>
        <w:pStyle w:val="Normal"/>
        <w:jc w:val="center"/>
        <w:rPr>
          <w:b/>
          <w:sz w:val="40"/>
        </w:rPr>
      </w:pPr>
      <w:r>
        <w:rPr>
          <w:b/>
          <w:sz w:val="40"/>
        </w:rPr>
        <w:t>Field Area</w:t>
      </w:r>
    </w:p>
    <w:p>
      <w:pPr>
        <w:pStyle w:val="Normal"/>
        <w:jc w:val="center"/>
        <w:rPr>
          <w:b/>
          <w:sz w:val="40"/>
        </w:rPr>
      </w:pPr>
      <w:r>
        <w:rPr>
          <w:b/>
          <w:sz w:val="40"/>
        </w:rPr>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r>
      <w:r>
        <w:br w:type="page"/>
      </w:r>
    </w:p>
    <w:p>
      <w:pPr>
        <w:pStyle w:val="Normal"/>
        <w:jc w:val="center"/>
        <w:rPr>
          <w:b/>
          <w:sz w:val="40"/>
          <w:u w:val="single"/>
        </w:rPr>
      </w:pPr>
      <w:bookmarkStart w:id="22" w:name="_Hlk520701704"/>
      <w:r>
        <w:rPr>
          <w:b/>
          <w:sz w:val="40"/>
          <w:u w:val="single"/>
        </w:rPr>
        <w:t>Oklahoma</w:t>
      </w:r>
      <w:bookmarkEnd w:id="22"/>
    </w:p>
    <w:p>
      <w:pPr>
        <w:pStyle w:val="Normal"/>
        <w:jc w:val="center"/>
        <w:rPr>
          <w:b/>
          <w:sz w:val="40"/>
          <w:u w:val="single"/>
        </w:rPr>
      </w:pPr>
      <w:r>
        <w:rPr>
          <w:b/>
          <w:sz w:val="40"/>
          <w:u w:val="single"/>
        </w:rPr>
      </w:r>
    </w:p>
    <w:p>
      <w:pPr>
        <w:pStyle w:val="Normal"/>
        <w:jc w:val="center"/>
        <w:rPr>
          <w:b/>
          <w:sz w:val="40"/>
          <w:u w:val="single"/>
        </w:rPr>
      </w:pPr>
      <w:hyperlink w:anchor="_Hlk520700310">
        <w:r>
          <w:rPr>
            <w:rStyle w:val="Hyperlink"/>
          </w:rPr>
          <w:t>Table of Contents</w:t>
        </w:r>
      </w:hyperlink>
    </w:p>
    <w:p>
      <w:pPr>
        <w:pStyle w:val="Normal"/>
        <w:rPr>
          <w:b/>
          <w:sz w:val="40"/>
          <w:u w:val="single"/>
        </w:rPr>
      </w:pPr>
      <w:r>
        <w:rPr>
          <w:b/>
          <w:sz w:val="40"/>
          <w:u w:val="single"/>
        </w:rPr>
      </w:r>
    </w:p>
    <w:p>
      <w:pPr>
        <w:pStyle w:val="Normal"/>
        <w:rPr/>
      </w:pPr>
      <w:r>
        <w:rPr/>
      </w:r>
    </w:p>
    <w:p>
      <w:pPr>
        <w:pStyle w:val="Normal"/>
        <w:rPr>
          <w:b/>
          <w:i/>
          <w:i/>
        </w:rPr>
      </w:pPr>
      <w:r>
        <w:rPr>
          <w:b/>
          <w:i/>
        </w:rPr>
        <w:t>Most Recent Activity</w:t>
      </w:r>
    </w:p>
    <w:p>
      <w:pPr>
        <w:pStyle w:val="Normal"/>
        <w:rPr>
          <w:b/>
          <w:i/>
          <w:i/>
        </w:rPr>
      </w:pPr>
      <w:r>
        <w:rPr>
          <w:b/>
          <w:i/>
        </w:rPr>
      </w:r>
    </w:p>
    <w:p>
      <w:pPr>
        <w:pStyle w:val="BodyText"/>
        <w:rPr/>
      </w:pPr>
      <w:r>
        <w:rPr/>
        <w:t>The original schedule called for retail gas competition to begin by October 1999.  However, in a March 1999 order this date was extended until June 2001 due to a number of unsettled issues such as capacity reallocation, tax, and municipal franchise fees.  T</w:t>
      </w:r>
      <w:r>
        <w:rPr>
          <w:lang w:eastAsia="en-US"/>
        </w:rPr>
        <w:t>he deadline later was again extended once again, this time to June 2002.</w:t>
      </w:r>
    </w:p>
    <w:p>
      <w:pPr>
        <w:pStyle w:val="Normal"/>
        <w:rPr>
          <w:b/>
          <w:i/>
          <w:i/>
        </w:rPr>
      </w:pPr>
      <w:r>
        <w:rPr>
          <w:b/>
          <w:i/>
        </w:rPr>
      </w:r>
    </w:p>
    <w:p>
      <w:pPr>
        <w:pStyle w:val="Normal"/>
        <w:rPr>
          <w:b/>
          <w:i/>
          <w:i/>
        </w:rPr>
      </w:pPr>
      <w:r>
        <w:rPr>
          <w:b/>
          <w:i/>
        </w:rPr>
        <w:t>Background</w:t>
      </w:r>
    </w:p>
    <w:p>
      <w:pPr>
        <w:pStyle w:val="Normal"/>
        <w:rPr/>
      </w:pPr>
      <w:r>
        <w:rPr/>
      </w:r>
    </w:p>
    <w:p>
      <w:pPr>
        <w:pStyle w:val="Normal"/>
        <w:rPr/>
      </w:pPr>
      <w:r>
        <w:rPr/>
        <w:t>In January 1998 the Oklahoma Corporation Commission adopted new natural gas competition rules, which required LDCs to file an upstream unbundling plan by April 1998.  In addition, the rules required the LDCs to begin developing by September 1998 retail competition plans for services downstream of the city gate. The rules called for a collaborative process to include the Commission staff, the Attorney General, marketers and other interested parties.</w:t>
      </w:r>
    </w:p>
    <w:p>
      <w:pPr>
        <w:pStyle w:val="Normal"/>
        <w:rPr/>
      </w:pPr>
      <w:r>
        <w:rPr/>
      </w:r>
    </w:p>
    <w:p>
      <w:pPr>
        <w:pStyle w:val="Normal"/>
        <w:rPr/>
      </w:pPr>
      <w:r>
        <w:rPr/>
        <w:t>On July 9, 1999, the Oklahoma Corporation Commission approved an agreement under which the state's largest utility, Oklahoma Natural Gas Company (ONG), would request competitive bids for upstream transmission services effective November 1, 2000 and would seek competitive bids on its gas supplies beginning with the 1999-2000 heating season. The agreement also called for ONG's storage and gathering assets to be deregulated.</w:t>
      </w:r>
    </w:p>
    <w:p>
      <w:pPr>
        <w:pStyle w:val="Normal"/>
        <w:rPr/>
      </w:pPr>
      <w:r>
        <w:rPr/>
      </w:r>
    </w:p>
    <w:p>
      <w:pPr>
        <w:pStyle w:val="Normal"/>
        <w:rPr/>
      </w:pPr>
      <w:r>
        <w:rPr/>
      </w:r>
    </w:p>
    <w:p>
      <w:pPr>
        <w:pStyle w:val="Normal"/>
        <w:rPr/>
      </w:pPr>
      <w:r>
        <w:rPr/>
      </w:r>
      <w:r>
        <w:br w:type="page"/>
      </w:r>
    </w:p>
    <w:p>
      <w:pPr>
        <w:pStyle w:val="Normal"/>
        <w:jc w:val="center"/>
        <w:rPr>
          <w:b/>
          <w:sz w:val="40"/>
          <w:u w:val="single"/>
        </w:rPr>
      </w:pPr>
      <w:bookmarkStart w:id="23" w:name="_Hlk520701771"/>
      <w:r>
        <w:rPr>
          <w:b/>
          <w:sz w:val="40"/>
          <w:u w:val="single"/>
        </w:rPr>
        <w:t>Texas</w:t>
      </w:r>
      <w:bookmarkEnd w:id="23"/>
    </w:p>
    <w:p>
      <w:pPr>
        <w:pStyle w:val="Normal"/>
        <w:jc w:val="center"/>
        <w:rPr>
          <w:b/>
          <w:sz w:val="40"/>
          <w:u w:val="single"/>
        </w:rPr>
      </w:pPr>
      <w:r>
        <w:rPr>
          <w:b/>
          <w:sz w:val="40"/>
          <w:u w:val="single"/>
        </w:rPr>
      </w:r>
    </w:p>
    <w:p>
      <w:pPr>
        <w:pStyle w:val="Normal"/>
        <w:jc w:val="center"/>
        <w:rPr>
          <w:b/>
          <w:sz w:val="40"/>
          <w:u w:val="single"/>
        </w:rPr>
      </w:pPr>
      <w:hyperlink w:anchor="_Hlk520700310">
        <w:r>
          <w:rPr>
            <w:rStyle w:val="Hyperlink"/>
          </w:rPr>
          <w:t>Table of Contents</w:t>
        </w:r>
      </w:hyperlink>
    </w:p>
    <w:p>
      <w:pPr>
        <w:pStyle w:val="Normal"/>
        <w:jc w:val="center"/>
        <w:rPr>
          <w:b/>
          <w:sz w:val="52"/>
          <w:u w:val="single"/>
        </w:rPr>
      </w:pPr>
      <w:r>
        <w:rPr>
          <w:b/>
          <w:sz w:val="52"/>
          <w:u w:val="single"/>
        </w:rPr>
      </w:r>
    </w:p>
    <w:p>
      <w:pPr>
        <w:pStyle w:val="Normal"/>
        <w:jc w:val="center"/>
        <w:rPr>
          <w:b/>
          <w:sz w:val="52"/>
          <w:u w:val="single"/>
        </w:rPr>
      </w:pPr>
      <w:r>
        <w:rPr>
          <w:b/>
          <w:sz w:val="52"/>
          <w:u w:val="single"/>
        </w:rPr>
      </w:r>
    </w:p>
    <w:p>
      <w:pPr>
        <w:pStyle w:val="Normal"/>
        <w:rPr/>
      </w:pPr>
      <w:r>
        <w:rPr/>
        <w:t xml:space="preserve">The Texas Railroad Commission (TRC) began evaluating its regulation of gas utilities in September of 1998.  It was believed this could eventually lead toward consideration of unbundling.  </w:t>
      </w:r>
      <w:r>
        <w:rPr>
          <w:b/>
        </w:rPr>
        <w:t>There has been no additional activity.</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sz w:val="16"/>
      </w:rPr>
    </w:pPr>
    <w:r>
      <w:rPr>
        <w:sz w:val="16"/>
        <w:u w:val="single"/>
      </w:rPr>
      <w:t>July 2001 ETS Unbundling Summary</w:t>
    </w:r>
    <w:r>
      <w:rPr>
        <w:sz w:val="16"/>
      </w:rPr>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28</w:t>
    </w:r>
    <w:r>
      <w:rPr>
        <w:rStyle w:val="PageNumber"/>
        <w:sz w:val="16"/>
      </w:rPr>
      <w:fldChar w:fldCharType="end"/>
    </w:r>
    <w:r>
      <mc:AlternateContent>
        <mc:Choice Requires="wps">
          <w:drawing>
            <wp:anchor behindDoc="0" distT="0" distB="0" distL="0" distR="0" simplePos="0" locked="0" layoutInCell="0" allowOverlap="1" relativeHeight="56">
              <wp:simplePos x="0" y="0"/>
              <wp:positionH relativeFrom="margin">
                <wp:align>right</wp:align>
              </wp:positionH>
              <wp:positionV relativeFrom="paragraph">
                <wp:posOffset>635</wp:posOffset>
              </wp:positionV>
              <wp:extent cx="243205" cy="177165"/>
              <wp:effectExtent l="0" t="0" r="0" b="0"/>
              <wp:wrapSquare wrapText="bothSides"/>
              <wp:docPr id="1" name="Frame3"/>
              <a:graphic xmlns:a="http://schemas.openxmlformats.org/drawingml/2006/main">
                <a:graphicData uri="http://schemas.microsoft.com/office/word/2010/wordprocessingShape">
                  <wps:wsp>
                    <wps:cNvSpPr txBox="1"/>
                    <wps:spPr>
                      <a:xfrm>
                        <a:off x="0" y="0"/>
                        <a:ext cx="243205" cy="177165"/>
                      </a:xfrm>
                      <a:prstGeom prst="rect"/>
                      <a:solidFill>
                        <a:srgbClr val="FFFFFF">
                          <a:alpha val="0"/>
                        </a:srgbClr>
                      </a:solidFill>
                    </wps:spPr>
                    <wps:txbx>
                      <w:txbxContent>
                        <w:p>
                          <w:pPr>
                            <w:pStyle w:val="Head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19.15pt;height:13.95pt;mso-wrap-distance-left:0pt;mso-wrap-distance-right:0pt;mso-wrap-distance-top:0pt;mso-wrap-distance-bottom:0pt;margin-top:0.05pt;mso-position-vertical-relative:text;margin-left:448.85pt;mso-position-horizontal:right;mso-position-horizontal-relative:margin">
              <v:fill opacity="0f"/>
              <v:textbox inset="0in,0in,0in,0in">
                <w:txbxContent>
                  <w:p>
                    <w:pPr>
                      <w:pStyle w:val="Header"/>
                      <w:ind w:end="360"/>
                      <w:rPr>
                        <w:rStyle w:val="PageNumber"/>
                      </w:rPr>
                    </w:pPr>
                    <w:r>
                      <w:rPr/>
                    </w:r>
                  </w:p>
                </w:txbxContent>
              </v:textbox>
              <w10:wrap type="square"/>
            </v:rect>
          </w:pict>
        </mc:Fallback>
      </mc:AlternateContent>
    </w:r>
  </w:p>
  <w:p>
    <w:pPr>
      <w:pStyle w:val="Header"/>
      <w:ind w:end="360"/>
      <w:jc w:val="end"/>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3462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4620"/>
                      </a:xfrm>
                      <a:prstGeom prst="rect"/>
                      <a:solidFill>
                        <a:srgbClr val="FFFFFF">
                          <a:alpha val="0"/>
                        </a:srgbClr>
                      </a:solidFill>
                    </wps:spPr>
                    <wps:txbx>
                      <w:txbxContent>
                        <w:p>
                          <w:pPr>
                            <w:pStyle w:val="Header"/>
                            <w:rPr>
                              <w:rStyle w:val="PageNumber"/>
                              <w:sz w:val="18"/>
                            </w:rPr>
                          </w:pPr>
                          <w:r>
                            <w:rPr/>
                          </w:r>
                        </w:p>
                      </w:txbxContent>
                    </wps:txbx>
                    <wps:bodyPr anchor="t" lIns="0" tIns="0" rIns="0" bIns="0">
                      <a:noAutofit/>
                    </wps:bodyPr>
                  </wps:wsp>
                </a:graphicData>
              </a:graphic>
            </wp:anchor>
          </w:drawing>
        </mc:Choice>
        <mc:Fallback>
          <w:pict>
            <v:rect fillcolor="#FFFFFF" style="position:absolute;rotation:-0;width:1.15pt;height:10.6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sz w:val="18"/>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before="240" w:after="0"/>
      <w:jc w:val="center"/>
      <w:outlineLvl w:val="0"/>
    </w:pPr>
    <w:rPr>
      <w:b/>
      <w:caps/>
      <w:color w:val="000080"/>
      <w:u w:val="single"/>
    </w:rPr>
  </w:style>
  <w:style w:type="paragraph" w:styleId="Heading2">
    <w:name w:val="heading 2"/>
    <w:basedOn w:val="Normal"/>
    <w:next w:val="Normal"/>
    <w:qFormat/>
    <w:pPr>
      <w:numPr>
        <w:ilvl w:val="1"/>
        <w:numId w:val="1"/>
      </w:numPr>
      <w:jc w:val="center"/>
      <w:outlineLvl w:val="1"/>
    </w:pPr>
    <w:rPr>
      <w:caps/>
      <w:sz w:val="20"/>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next w:val="LINENO"/>
    <w:pPr>
      <w:jc w:val="both"/>
    </w:pPr>
    <w:rPr/>
  </w:style>
  <w:style w:type="paragraph" w:styleId="LINENO">
    <w:name w:val="LINENO"/>
    <w:basedOn w:val="Normal"/>
    <w:qFormat/>
    <w:pPr>
      <w:keepNext w:val="true"/>
      <w:keepLines/>
      <w:tabs>
        <w:tab w:val="clear" w:pos="720"/>
        <w:tab w:val="left" w:pos="4320" w:leader="none"/>
        <w:tab w:val="left" w:pos="5760" w:leader="none"/>
      </w:tabs>
      <w:spacing w:lineRule="atLeast" w:line="240"/>
    </w:pPr>
    <w:rPr/>
  </w:style>
  <w:style w:type="paragraph" w:styleId="TEXT">
    <w:name w:val="TEXT"/>
    <w:basedOn w:val="Normal"/>
    <w:next w:val="Normal"/>
    <w:qFormat/>
    <w:pPr>
      <w:tabs>
        <w:tab w:val="left" w:pos="720" w:leader="none"/>
      </w:tabs>
      <w:spacing w:lineRule="atLeast" w:line="240"/>
      <w:ind w:firstLine="720" w:start="0" w:end="0"/>
      <w:jc w:val="both"/>
    </w:pPr>
    <w:rPr/>
  </w:style>
  <w:style w:type="paragraph" w:styleId="Footer">
    <w:name w:val="footer"/>
    <w:basedOn w:val="Normal"/>
    <w:pPr>
      <w:tabs>
        <w:tab w:val="clear" w:pos="720"/>
        <w:tab w:val="center" w:pos="4320" w:leader="none"/>
        <w:tab w:val="right" w:pos="8640" w:leader="none"/>
      </w:tabs>
    </w:pPr>
    <w:rPr/>
  </w:style>
  <w:style w:type="paragraph" w:styleId="LEFTPARA">
    <w:name w:val="LEFTPARA"/>
    <w:basedOn w:val="Normal"/>
    <w:next w:val="TEXT"/>
    <w:qFormat/>
    <w:pPr>
      <w:keepLines/>
      <w:tabs>
        <w:tab w:val="clear" w:pos="720"/>
        <w:tab w:val="left" w:pos="0" w:leader="none"/>
      </w:tabs>
      <w:jc w:val="both"/>
    </w:pPr>
    <w:rPr/>
  </w:style>
  <w:style w:type="paragraph" w:styleId="NUMBER">
    <w:name w:val="NUMBER"/>
    <w:basedOn w:val="TEXT"/>
    <w:next w:val="TEXT"/>
    <w:qFormat/>
    <w:pPr>
      <w:tabs>
        <w:tab w:val="decimal" w:pos="720" w:leader="dot"/>
      </w:tabs>
    </w:pPr>
    <w:rPr/>
  </w:style>
  <w:style w:type="paragraph" w:styleId="ReturnInstrument">
    <w:name w:val="ReturnInstrument"/>
    <w:basedOn w:val="Normal"/>
    <w:qFormat/>
    <w:pPr>
      <w:jc w:val="end"/>
    </w:pPr>
    <w:rPr>
      <w:color w:val="auto"/>
      <w:sz w:val="20"/>
    </w:rPr>
  </w:style>
  <w:style w:type="paragraph" w:styleId="NOTARY">
    <w:name w:val="NOTARY"/>
    <w:basedOn w:val="Normal"/>
    <w:qFormat/>
    <w:pPr>
      <w:keepNext w:val="true"/>
      <w:keepLines/>
      <w:tabs>
        <w:tab w:val="clear" w:pos="720"/>
        <w:tab w:val="left" w:pos="5040" w:leader="none"/>
        <w:tab w:val="left" w:pos="5760" w:leader="none"/>
      </w:tabs>
      <w:spacing w:lineRule="atLeast" w:line="240"/>
      <w:ind w:firstLine="720" w:start="0" w:end="0"/>
      <w:jc w:val="both"/>
    </w:pPr>
    <w:rPr/>
  </w:style>
  <w:style w:type="paragraph" w:styleId="autonumber">
    <w:name w:val="autonumber"/>
    <w:basedOn w:val="Normal"/>
    <w:qFormat/>
    <w:pPr>
      <w:tabs>
        <w:tab w:val="left" w:pos="720" w:leader="none"/>
        <w:tab w:val="left" w:pos="1080" w:leader="none"/>
        <w:tab w:val="left" w:pos="1440" w:leader="none"/>
        <w:tab w:val="left" w:pos="2160" w:leader="none"/>
      </w:tabs>
      <w:jc w:val="both"/>
    </w:pPr>
    <w:rPr/>
  </w:style>
  <w:style w:type="paragraph" w:styleId="Grantor">
    <w:name w:val="Grantor"/>
    <w:basedOn w:val="Normal"/>
    <w:qFormat/>
    <w:pPr>
      <w:tabs>
        <w:tab w:val="clear" w:pos="720"/>
        <w:tab w:val="left" w:pos="5040" w:leader="none"/>
        <w:tab w:val="left" w:pos="5760" w:leader="none"/>
        <w:tab w:val="left" w:pos="9360" w:leader="none"/>
      </w:tabs>
    </w:pPr>
    <w:rPr>
      <w:color w:val="auto"/>
    </w:rPr>
  </w:style>
  <w:style w:type="paragraph" w:styleId="AckSS">
    <w:name w:val="AckSS"/>
    <w:basedOn w:val="Normal"/>
    <w:next w:val="NOTARY"/>
    <w:qFormat/>
    <w:pPr>
      <w:keepNext w:val="true"/>
      <w:keepLines/>
      <w:tabs>
        <w:tab w:val="clear" w:pos="720"/>
        <w:tab w:val="left" w:pos="2880" w:leader="none"/>
      </w:tabs>
    </w:pPr>
    <w:rPr>
      <w:caps/>
    </w:rPr>
  </w:style>
  <w:style w:type="paragraph" w:styleId="draftedby">
    <w:name w:val="draftedby"/>
    <w:basedOn w:val="Normal"/>
    <w:next w:val="DocName"/>
    <w:qFormat/>
    <w:pPr>
      <w:keepNext w:val="true"/>
      <w:keepLines/>
    </w:pPr>
    <w:rPr>
      <w:color w:val="000080"/>
      <w:sz w:val="20"/>
    </w:rPr>
  </w:style>
  <w:style w:type="paragraph" w:styleId="DocName">
    <w:name w:val="DocName"/>
    <w:basedOn w:val="Normal"/>
    <w:qFormat/>
    <w:pPr/>
    <w:rPr>
      <w:rFonts w:ascii="Helvetica" w:hAnsi="Helvetica" w:cs="Helvetica"/>
      <w:caps/>
      <w:sz w:val="16"/>
    </w:rPr>
  </w:style>
  <w:style w:type="paragraph" w:styleId="Closeltr">
    <w:name w:val="Closeltr"/>
    <w:basedOn w:val="Normal"/>
    <w:next w:val="Normal"/>
    <w:qFormat/>
    <w:pPr/>
    <w:rPr/>
  </w:style>
  <w:style w:type="paragraph" w:styleId="sub1">
    <w:name w:val="sub1"/>
    <w:basedOn w:val="Normal"/>
    <w:qFormat/>
    <w:pPr>
      <w:spacing w:lineRule="auto" w:line="360"/>
      <w:ind w:firstLine="1440" w:start="0" w:end="0"/>
    </w:pPr>
    <w:rPr>
      <w:rFonts w:ascii="PALATINO;Book Antiqua" w:hAnsi="PALATINO;Book Antiqua" w:cs="PALATINO;Book Antiqua"/>
      <w:color w:val="auto"/>
      <w:sz w:val="26"/>
    </w:rPr>
  </w:style>
  <w:style w:type="paragraph" w:styleId="standard">
    <w:name w:val="standard"/>
    <w:basedOn w:val="Normal"/>
    <w:qFormat/>
    <w:pPr>
      <w:spacing w:lineRule="auto" w:line="360"/>
      <w:ind w:firstLine="720" w:start="0" w:end="0"/>
    </w:pPr>
    <w:rPr>
      <w:rFonts w:ascii="PALATINO;Book Antiqua" w:hAnsi="PALATINO;Book Antiqua" w:cs="PALATINO;Book Antiqua"/>
      <w:color w:val="auto"/>
      <w:sz w:val="26"/>
    </w:rPr>
  </w:style>
  <w:style w:type="paragraph" w:styleId="BodyText2">
    <w:name w:val="Body Text 2"/>
    <w:basedOn w:val="Normal"/>
    <w:qFormat/>
    <w:pPr>
      <w:spacing w:lineRule="auto" w:line="360"/>
      <w:ind w:firstLine="720" w:start="720" w:end="0"/>
    </w:pPr>
    <w:rPr>
      <w:rFonts w:ascii="PALATINO;Book Antiqua" w:hAnsi="PALATINO;Book Antiqua" w:cs="PALATINO;Book Antiqua"/>
      <w:color w:val="auto"/>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2001-07-25T15:14:00Z</dcterms:created>
  <dc:creator>Mike Zoch</dc:creator>
  <dc:description/>
  <dc:language>en-CA</dc:language>
  <cp:lastModifiedBy>Lon Stanton</cp:lastModifiedBy>
  <cp:lastPrinted>2001-07-25T14:17:00Z</cp:lastPrinted>
  <dcterms:modified xsi:type="dcterms:W3CDTF">2001-07-25T17:05:00Z</dcterms:modified>
  <cp:revision>21</cp:revision>
  <dc:subject/>
  <dc:title>normal template w/styles &amp; macros</dc:title>
</cp:coreProperties>
</file>