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737"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Vlady Gorny</w:t>
            </w:r>
          </w:p>
          <w:p>
            <w:pPr>
              <w:pStyle w:val="To"/>
              <w:rPr/>
            </w:pPr>
            <w:r>
              <w:rPr/>
              <w:t>John Lavorato</w:t>
            </w:r>
          </w:p>
          <w:p>
            <w:pPr>
              <w:pStyle w:val="To"/>
              <w:rPr/>
            </w:pPr>
            <w:r>
              <w:rPr/>
              <w:t>Kevin Presto</w:t>
            </w:r>
          </w:p>
          <w:p>
            <w:pPr>
              <w:pStyle w:val="To"/>
              <w:rPr/>
            </w:pPr>
            <w:r>
              <w:rPr/>
              <w:t>Leslie Reeves</w:t>
            </w:r>
          </w:p>
          <w:p>
            <w:pPr>
              <w:pStyle w:val="To"/>
              <w:rPr/>
            </w:pPr>
            <w:r>
              <w:rPr/>
              <w:t>Stacey White</w:t>
            </w:r>
          </w:p>
          <w:p>
            <w:pPr>
              <w:pStyle w:val="To"/>
              <w:rPr/>
            </w:pPr>
            <w:r>
              <w:rPr/>
              <w:t>Bob Hall</w:t>
            </w:r>
          </w:p>
          <w:p>
            <w:pPr>
              <w:pStyle w:val="To"/>
              <w:rPr/>
            </w:pPr>
            <w:r>
              <w:rPr/>
              <w:t>Timothy Belden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180"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Tom Victorio</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Global Risk Operations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July 2001 Power Curve Validation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Normal"/>
        <w:rPr>
          <w:sz w:val="20"/>
        </w:rPr>
      </w:pPr>
      <w:r>
        <w:rPr>
          <w:sz w:val="20"/>
        </w:rPr>
        <w:t>This memo documents the review of power price curves in use on July 31, 2001.</w:t>
      </w:r>
    </w:p>
    <w:p>
      <w:pPr>
        <w:pStyle w:val="Normal"/>
        <w:rPr>
          <w:sz w:val="20"/>
        </w:rPr>
      </w:pPr>
      <w:r>
        <w:rPr>
          <w:sz w:val="20"/>
        </w:rPr>
      </w:r>
    </w:p>
    <w:p>
      <w:pPr>
        <w:pStyle w:val="Normal"/>
        <w:numPr>
          <w:ilvl w:val="0"/>
          <w:numId w:val="2"/>
        </w:numPr>
        <w:rPr>
          <w:b/>
          <w:bCs/>
          <w:sz w:val="20"/>
        </w:rPr>
      </w:pPr>
      <w:r>
        <w:rPr>
          <w:b/>
          <w:bCs/>
          <w:sz w:val="20"/>
        </w:rPr>
        <w:t>Scope</w:t>
      </w:r>
    </w:p>
    <w:p>
      <w:pPr>
        <w:pStyle w:val="Normal"/>
        <w:ind w:start="360" w:end="0"/>
        <w:rPr>
          <w:b/>
          <w:bCs/>
          <w:sz w:val="20"/>
        </w:rPr>
      </w:pPr>
      <w:r>
        <w:rPr>
          <w:b/>
          <w:bCs/>
          <w:sz w:val="20"/>
        </w:rPr>
      </w:r>
    </w:p>
    <w:p>
      <w:pPr>
        <w:pStyle w:val="Normal"/>
        <w:rPr>
          <w:sz w:val="20"/>
        </w:rPr>
      </w:pPr>
      <w:r>
        <w:rPr>
          <w:sz w:val="20"/>
        </w:rPr>
        <w:t>The following power curves were included in the July 2001 curve review:</w:t>
      </w:r>
    </w:p>
    <w:p>
      <w:pPr>
        <w:pStyle w:val="Normal"/>
        <w:rPr>
          <w:sz w:val="20"/>
        </w:rPr>
      </w:pPr>
      <w:r>
        <w:rPr>
          <w:sz w:val="20"/>
        </w:rPr>
      </w:r>
    </w:p>
    <w:p>
      <w:pPr>
        <w:pStyle w:val="Normal"/>
        <w:rPr>
          <w:sz w:val="20"/>
        </w:rPr>
      </w:pPr>
      <w:r>
        <w:rPr>
          <w:sz w:val="20"/>
        </w:rPr>
        <w:t>R1A (PJM)</w:t>
      </w:r>
    </w:p>
    <w:p>
      <w:pPr>
        <w:pStyle w:val="Normal"/>
        <w:rPr>
          <w:sz w:val="20"/>
        </w:rPr>
      </w:pPr>
      <w:r>
        <w:rPr>
          <w:sz w:val="20"/>
        </w:rPr>
        <w:t>R1B (NEPOOL)</w:t>
      </w:r>
    </w:p>
    <w:p>
      <w:pPr>
        <w:pStyle w:val="Normal"/>
        <w:rPr>
          <w:sz w:val="20"/>
        </w:rPr>
      </w:pPr>
      <w:r>
        <w:rPr>
          <w:sz w:val="20"/>
        </w:rPr>
        <w:t>R1C (NY West)</w:t>
      </w:r>
    </w:p>
    <w:p>
      <w:pPr>
        <w:pStyle w:val="Normal"/>
        <w:rPr>
          <w:sz w:val="20"/>
        </w:rPr>
      </w:pPr>
      <w:r>
        <w:rPr>
          <w:sz w:val="20"/>
        </w:rPr>
        <w:t>R1E (West Hub)</w:t>
      </w:r>
    </w:p>
    <w:p>
      <w:pPr>
        <w:pStyle w:val="Normal"/>
        <w:rPr>
          <w:sz w:val="20"/>
        </w:rPr>
      </w:pPr>
      <w:r>
        <w:rPr>
          <w:sz w:val="20"/>
        </w:rPr>
        <w:t>R3 (SOCO)</w:t>
      </w:r>
    </w:p>
    <w:p>
      <w:pPr>
        <w:pStyle w:val="Normal"/>
        <w:rPr>
          <w:sz w:val="20"/>
        </w:rPr>
      </w:pPr>
      <w:r>
        <w:rPr>
          <w:sz w:val="20"/>
        </w:rPr>
        <w:t>R3B (TVA)</w:t>
      </w:r>
    </w:p>
    <w:p>
      <w:pPr>
        <w:pStyle w:val="Normal"/>
        <w:rPr>
          <w:sz w:val="20"/>
        </w:rPr>
      </w:pPr>
      <w:r>
        <w:rPr>
          <w:sz w:val="20"/>
        </w:rPr>
        <w:t>R3C (FPL_FRCC)</w:t>
      </w:r>
    </w:p>
    <w:p>
      <w:pPr>
        <w:pStyle w:val="Normal"/>
        <w:rPr>
          <w:sz w:val="20"/>
        </w:rPr>
      </w:pPr>
      <w:r>
        <w:rPr>
          <w:sz w:val="20"/>
        </w:rPr>
        <w:t>R4 (Cinergy)</w:t>
      </w:r>
    </w:p>
    <w:p>
      <w:pPr>
        <w:pStyle w:val="Normal"/>
        <w:rPr>
          <w:sz w:val="20"/>
        </w:rPr>
      </w:pPr>
      <w:r>
        <w:rPr>
          <w:sz w:val="20"/>
        </w:rPr>
        <w:t>R4C (Comed)</w:t>
      </w:r>
    </w:p>
    <w:p>
      <w:pPr>
        <w:pStyle w:val="Normal"/>
        <w:rPr>
          <w:sz w:val="20"/>
        </w:rPr>
      </w:pPr>
      <w:r>
        <w:rPr>
          <w:sz w:val="20"/>
        </w:rPr>
        <w:t>R5 (Entergy)</w:t>
      </w:r>
    </w:p>
    <w:p>
      <w:pPr>
        <w:pStyle w:val="Normal"/>
        <w:rPr>
          <w:sz w:val="20"/>
        </w:rPr>
      </w:pPr>
      <w:r>
        <w:rPr>
          <w:sz w:val="20"/>
        </w:rPr>
        <w:t>R6 (Ercot)</w:t>
      </w:r>
    </w:p>
    <w:p>
      <w:pPr>
        <w:pStyle w:val="Normal"/>
        <w:rPr>
          <w:sz w:val="20"/>
        </w:rPr>
      </w:pPr>
      <w:r>
        <w:rPr>
          <w:sz w:val="20"/>
        </w:rPr>
      </w:r>
    </w:p>
    <w:p>
      <w:pPr>
        <w:pStyle w:val="Normal"/>
        <w:ind w:start="360" w:end="0"/>
        <w:rPr>
          <w:sz w:val="20"/>
        </w:rPr>
      </w:pPr>
      <w:r>
        <w:rPr>
          <w:sz w:val="20"/>
        </w:rPr>
      </w:r>
    </w:p>
    <w:p>
      <w:pPr>
        <w:pStyle w:val="Normal"/>
        <w:numPr>
          <w:ilvl w:val="0"/>
          <w:numId w:val="2"/>
        </w:numPr>
        <w:rPr>
          <w:b/>
          <w:bCs/>
          <w:sz w:val="20"/>
        </w:rPr>
      </w:pPr>
      <w:r>
        <w:rPr>
          <w:b/>
          <w:bCs/>
          <w:sz w:val="20"/>
        </w:rPr>
        <w:t>Methodology</w:t>
      </w:r>
    </w:p>
    <w:p>
      <w:pPr>
        <w:pStyle w:val="Normal"/>
        <w:rPr>
          <w:b/>
          <w:bCs/>
          <w:sz w:val="20"/>
        </w:rPr>
      </w:pPr>
      <w:r>
        <w:rPr>
          <w:b/>
          <w:bCs/>
          <w:sz w:val="20"/>
        </w:rPr>
      </w:r>
    </w:p>
    <w:p>
      <w:pPr>
        <w:pStyle w:val="Normal"/>
        <w:rPr>
          <w:sz w:val="20"/>
        </w:rPr>
      </w:pPr>
      <w:r>
        <w:rPr>
          <w:sz w:val="20"/>
        </w:rPr>
        <w:t>The curves were selected based upon existing positions, potential P&amp;L impact and random selection. The selected curves were reviewed using (1) broker quotes available on July 31, 2001 (Truequote and Amerex), and (2) curve shift.</w:t>
      </w:r>
    </w:p>
    <w:p>
      <w:pPr>
        <w:pStyle w:val="Normal"/>
        <w:rPr>
          <w:sz w:val="20"/>
        </w:rPr>
      </w:pPr>
      <w:r>
        <w:rPr>
          <w:sz w:val="20"/>
        </w:rPr>
      </w:r>
    </w:p>
    <w:p>
      <w:pPr>
        <w:pStyle w:val="Normal"/>
        <w:rPr>
          <w:sz w:val="20"/>
        </w:rPr>
      </w:pPr>
      <w:r>
        <w:rPr>
          <w:sz w:val="20"/>
        </w:rPr>
      </w:r>
    </w:p>
    <w:p>
      <w:pPr>
        <w:pStyle w:val="Normal"/>
        <w:numPr>
          <w:ilvl w:val="0"/>
          <w:numId w:val="2"/>
        </w:numPr>
        <w:rPr>
          <w:b/>
          <w:bCs/>
          <w:sz w:val="20"/>
        </w:rPr>
      </w:pPr>
      <w:r>
        <w:rPr>
          <w:b/>
          <w:bCs/>
          <w:sz w:val="20"/>
        </w:rPr>
        <w:t>Comments</w:t>
      </w:r>
    </w:p>
    <w:p>
      <w:pPr>
        <w:pStyle w:val="Normal"/>
        <w:rPr>
          <w:b/>
          <w:bCs/>
          <w:sz w:val="20"/>
        </w:rPr>
      </w:pPr>
      <w:r>
        <w:rPr>
          <w:b/>
          <w:bCs/>
          <w:sz w:val="20"/>
        </w:rPr>
      </w:r>
    </w:p>
    <w:p>
      <w:pPr>
        <w:pStyle w:val="Normal"/>
        <w:rPr>
          <w:sz w:val="20"/>
        </w:rPr>
      </w:pPr>
      <w:r>
        <w:rPr>
          <w:sz w:val="20"/>
        </w:rPr>
        <w:t>For almost all the curves reviewed, there was an upward shift at end-July compared to prices at end-June. The shifts were steeper during the summer peak months relative to the non-summer months. This was explained by the substantial increase in summer prices for the current summer due to higher than expected temperatures in the Northeast and Midwest (affecting other East markets as well because of the extreme heat wave). This caused increased prices throughout the curve as current trading conditions for this summer automatically affected trading for future summers. (S. White)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numPr>
          <w:ilvl w:val="0"/>
          <w:numId w:val="2"/>
        </w:numPr>
        <w:rPr>
          <w:b/>
          <w:bCs/>
          <w:sz w:val="20"/>
        </w:rPr>
      </w:pPr>
      <w:r>
        <w:rPr>
          <w:b/>
          <w:bCs/>
          <w:sz w:val="20"/>
        </w:rPr>
        <w:t>Summary</w:t>
      </w:r>
    </w:p>
    <w:p>
      <w:pPr>
        <w:pStyle w:val="Normal"/>
        <w:rPr>
          <w:b/>
          <w:bCs/>
          <w:sz w:val="20"/>
        </w:rPr>
      </w:pPr>
      <w:r>
        <w:rPr>
          <w:b/>
          <w:bCs/>
          <w:sz w:val="20"/>
        </w:rPr>
      </w:r>
    </w:p>
    <w:p>
      <w:pPr>
        <w:pStyle w:val="Normal"/>
        <w:rPr>
          <w:sz w:val="20"/>
        </w:rPr>
      </w:pPr>
      <w:r>
        <w:rPr>
          <w:sz w:val="20"/>
        </w:rPr>
        <w:t xml:space="preserve">Based on the information we obtained during our review, we conclude that, in aggregate, the price curves appear to be reasonable as valuation inputs on the review date. In general, comparisons to available broker quotes resulted in insignificant variances.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2001-08-23T20:45:00Z</dcterms:created>
  <dc:creator>tvictori</dc:creator>
  <dc:description/>
  <dc:language>en-CA</dc:language>
  <cp:lastModifiedBy>tvictori</cp:lastModifiedBy>
  <cp:lastPrinted>2001-08-24T07:44:00Z</cp:lastPrinted>
  <dcterms:modified xsi:type="dcterms:W3CDTF">2001-08-24T10:45:00Z</dcterms:modified>
  <cp:revision>9</cp:revision>
  <dc:subject/>
  <dc:title>Better, Faster, Simpler Memo </dc:title>
</cp:coreProperties>
</file>