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pPr>
      <w:r>
        <w:rPr>
          <w:rPrChange w:id="0" w:author="Unknown" w:date="0-00-00T00:00:00Z"/>
        </w:rPr>
        <w:t>Overview</w:t>
      </w:r>
    </w:p>
    <w:p>
      <w:pPr>
        <w:pStyle w:val="Normal"/>
        <w:rPr/>
      </w:pPr>
      <w:r>
        <w:rPr/>
      </w:r>
    </w:p>
    <w:p>
      <w:pPr>
        <w:pStyle w:val="Normal"/>
        <w:rPr/>
      </w:pPr>
      <w:r>
        <w:rPr/>
        <w:tab/>
        <w:t xml:space="preserve">At the July 18-19, 2001 Technical Conference, El Paso was requested to prepare four studies to illustrate how its capacity allocation proposal filed in this proceeding on March 27, 2001, would allocate the system’s receipt and delivery point capacity under various scenarios.  In the course of evaluating the data, El Paso has chosen to add three more studies to the mix.  </w:t>
      </w:r>
    </w:p>
    <w:p>
      <w:pPr>
        <w:pStyle w:val="Normal"/>
        <w:rPr/>
      </w:pPr>
      <w:r>
        <w:rPr/>
      </w:r>
    </w:p>
    <w:p>
      <w:pPr>
        <w:pStyle w:val="Normal"/>
        <w:rPr/>
      </w:pPr>
      <w:r>
        <w:rPr/>
        <w:tab/>
        <w:t xml:space="preserve">In order to simulate the results of the proposed capacity allocation process, El Paso first solicited input from each of the FT-1 shippers as to their supply preferences by asking each shipper to rank order the proposed 20 pooling areas in terms of desirability.  If a shipper failed to indicate a preference, El Paso used a default ranking.  (Please see the document titled “7-30-01 Receipt Election Instructions.doc” under Tab 1 for a listing of the default pooling area rankings.  The form provided to the customers for supplying their preferences, “Supply Selection Form.xls,” is under Tab 2.)  </w:t>
      </w:r>
    </w:p>
    <w:p>
      <w:pPr>
        <w:pStyle w:val="Normal"/>
        <w:rPr/>
      </w:pPr>
      <w:r>
        <w:rPr/>
        <w:tab/>
      </w:r>
    </w:p>
    <w:p>
      <w:pPr>
        <w:pStyle w:val="Normal"/>
        <w:ind w:firstLine="720" w:end="0"/>
        <w:rPr/>
      </w:pPr>
      <w:r>
        <w:rPr/>
        <w:t xml:space="preserve">In each study, receipt point capacity was to be allocated up to the full contract demand (CD) for each </w:t>
      </w:r>
      <w:r>
        <w:rPr>
          <w:b/>
          <w:bCs/>
          <w:u w:val="single"/>
        </w:rPr>
        <w:t>current</w:t>
      </w:r>
      <w:r>
        <w:rPr/>
        <w:t xml:space="preserve"> CD customer. Except for recognizing Southwest Gas’s switch at its Nevada delivery point from the full requirements (FR) to the CD category, no attempt was made to correct for the actual contract structure in place in 1995.  </w:t>
      </w:r>
    </w:p>
    <w:p>
      <w:pPr>
        <w:pStyle w:val="Normal"/>
        <w:rPr/>
      </w:pPr>
      <w:r>
        <w:rPr/>
      </w:r>
    </w:p>
    <w:p>
      <w:pPr>
        <w:pStyle w:val="Normal"/>
        <w:ind w:firstLine="720" w:end="0"/>
        <w:rPr/>
      </w:pPr>
      <w:r>
        <w:rPr/>
        <w:t>The FR loads to be served vary from study to study as follows:</w:t>
      </w:r>
    </w:p>
    <w:p>
      <w:pPr>
        <w:pStyle w:val="BodyTextIndent"/>
        <w:rPr/>
      </w:pPr>
      <w:r>
        <w:rPr/>
      </w:r>
    </w:p>
    <w:p>
      <w:pPr>
        <w:pStyle w:val="BodyTextIndent"/>
        <w:rPr/>
      </w:pPr>
      <w:r>
        <w:rPr>
          <w:u w:val="single"/>
        </w:rPr>
        <w:t>Study 1</w:t>
      </w:r>
      <w:r>
        <w:rPr/>
        <w:t xml:space="preserve"> – FR load for each such shipper based on non-coincidental peak day demands (NCPs) during the test period for the Docket No. RP95-363-000 rate case.  </w:t>
      </w:r>
    </w:p>
    <w:p>
      <w:pPr>
        <w:pStyle w:val="BodyTextIndent"/>
        <w:rPr/>
      </w:pPr>
      <w:r>
        <w:rPr/>
      </w:r>
    </w:p>
    <w:p>
      <w:pPr>
        <w:pStyle w:val="BodyTextIndent"/>
        <w:rPr/>
      </w:pPr>
      <w:r>
        <w:rPr>
          <w:u w:val="single"/>
        </w:rPr>
        <w:t>Study 1B</w:t>
      </w:r>
      <w:r>
        <w:rPr/>
        <w:t xml:space="preserve"> – FR load for each such shipper based on coincidental peak day demands (CPs) during the test period for the Docket No. RP95-363-000 rate case.  This is the first of the alternate cases added by El Paso.  </w:t>
      </w:r>
    </w:p>
    <w:p>
      <w:pPr>
        <w:pStyle w:val="Normal"/>
        <w:ind w:start="720" w:end="0"/>
        <w:rPr/>
      </w:pPr>
      <w:r>
        <w:rPr/>
      </w:r>
    </w:p>
    <w:p>
      <w:pPr>
        <w:pStyle w:val="Normal"/>
        <w:ind w:start="720" w:end="0"/>
        <w:rPr/>
      </w:pPr>
      <w:r>
        <w:rPr>
          <w:u w:val="single"/>
        </w:rPr>
        <w:t>Study 2</w:t>
      </w:r>
      <w:r>
        <w:rPr/>
        <w:t xml:space="preserve"> – FR load for each such shipper based on the billing determinants (BDs) agreed to in the Settlement at Docket No. RP95-363-000.  </w:t>
      </w:r>
    </w:p>
    <w:p>
      <w:pPr>
        <w:pStyle w:val="Normal"/>
        <w:ind w:start="720" w:end="0"/>
        <w:rPr/>
      </w:pPr>
      <w:r>
        <w:rPr/>
      </w:r>
    </w:p>
    <w:p>
      <w:pPr>
        <w:pStyle w:val="Normal"/>
        <w:ind w:start="720" w:end="0"/>
        <w:rPr/>
      </w:pPr>
      <w:r>
        <w:rPr>
          <w:u w:val="single"/>
        </w:rPr>
        <w:t>Study 3</w:t>
      </w:r>
      <w:r>
        <w:rPr/>
        <w:t xml:space="preserve"> – FR load for each such shipper based on NCPs during the most recent 12 calendar months.  </w:t>
      </w:r>
    </w:p>
    <w:p>
      <w:pPr>
        <w:pStyle w:val="Normal"/>
        <w:ind w:start="720" w:end="0"/>
        <w:rPr/>
      </w:pPr>
      <w:r>
        <w:rPr/>
      </w:r>
    </w:p>
    <w:p>
      <w:pPr>
        <w:pStyle w:val="BodyTextIndent"/>
        <w:rPr/>
      </w:pPr>
      <w:r>
        <w:rPr>
          <w:u w:val="single"/>
        </w:rPr>
        <w:t>Study 3B</w:t>
      </w:r>
      <w:r>
        <w:rPr/>
        <w:t xml:space="preserve"> – FR load for each such shipper based on CPs during the most recent 12 calendar months.  This is the second of the alternate cases added by EPNG.  </w:t>
      </w:r>
    </w:p>
    <w:p>
      <w:pPr>
        <w:pStyle w:val="Normal"/>
        <w:ind w:start="720" w:end="0"/>
        <w:rPr/>
      </w:pPr>
      <w:r>
        <w:rPr/>
      </w:r>
    </w:p>
    <w:p>
      <w:pPr>
        <w:pStyle w:val="BodyText"/>
        <w:ind w:start="720" w:end="0"/>
        <w:rPr/>
      </w:pPr>
      <w:r>
        <w:rPr>
          <w:rFonts w:cs="Times New Roman" w:ascii="Times New Roman" w:hAnsi="Times New Roman"/>
          <w:sz w:val="24"/>
          <w:u w:val="single"/>
        </w:rPr>
        <w:t>Study 4A</w:t>
      </w:r>
      <w:r>
        <w:rPr>
          <w:rFonts w:cs="Times New Roman" w:ascii="Times New Roman" w:hAnsi="Times New Roman"/>
          <w:sz w:val="24"/>
        </w:rPr>
        <w:t xml:space="preserve"> – FR load for each such shipper based on projected demand, regardless of whether the peak demand for such customer occurs in the winter or summer.  (Each FT-1 FR shipper was to provide El Paso with its projected load growth for the period remaining in the Settlement at Docket No. RP95-363-000.  El Paso agreed to provide a forecast of the load growth to be expected from the FT-2 shippers.  Unfortunately, as this summary of the studies was being prepared, we discovered that the values forecast for the FT-2 shippers were not used.  The values shown for the FT-2 shippers in Studies 4A and 4B are generally about equal to the NCPs reported in Study 3 although Study 4A does show some significant increases for Rio Grande Natural Gas and Apache Nitrogen Products.  In study 4B the Apache Nitrogen Products increase was offset by a decrease in the Rio Grande Natural Gas number.  Given the relative magnitude of the FT-2 and FT-1 loads forecast for this pair of studies, use of the wrong values for the FT-2 shippers did not have a material impact on the results.  We apologize for the error.)  </w:t>
      </w:r>
    </w:p>
    <w:p>
      <w:pPr>
        <w:pStyle w:val="Normal"/>
        <w:ind w:start="720" w:end="0"/>
        <w:rPr>
          <w:rFonts w:ascii="Times New Roman" w:hAnsi="Times New Roman" w:cs="Times New Roman"/>
          <w:sz w:val="24"/>
        </w:rPr>
      </w:pPr>
      <w:r>
        <w:rPr>
          <w:rFonts w:cs="Times New Roman"/>
          <w:sz w:val="24"/>
        </w:rPr>
      </w:r>
    </w:p>
    <w:p>
      <w:pPr>
        <w:pStyle w:val="BodyTextIndent"/>
        <w:rPr/>
      </w:pPr>
      <w:r>
        <w:rPr>
          <w:u w:val="single"/>
        </w:rPr>
        <w:t>Study 4B</w:t>
      </w:r>
      <w:r>
        <w:rPr/>
        <w:t xml:space="preserve"> – FR load for each such shipper based on the greater of the aggregate projected demand for the FR shippers.  Given the projections received, this study was based on the projected winter loads for the FR customers.  This is the last of the alternate cases added by EPNG.  </w:t>
      </w:r>
    </w:p>
    <w:p>
      <w:pPr>
        <w:pStyle w:val="Normal"/>
        <w:ind w:start="720" w:end="0"/>
        <w:rPr/>
      </w:pPr>
      <w:r>
        <w:rPr/>
      </w:r>
    </w:p>
    <w:p>
      <w:pPr>
        <w:pStyle w:val="Heading2"/>
        <w:ind w:hanging="0" w:start="0"/>
        <w:rPr/>
      </w:pPr>
      <w:r>
        <w:rPr>
          <w:rPrChange w:id="0" w:author="El Paso Energy Corp" w:date="2001-08-13T17:16:00Z"/>
        </w:rPr>
        <w:t>Methodology</w:t>
        <w:rPrChange w:id="0" w:author="El Paso Energy Corp" w:date="2001-08-13T17:16:00Z"/>
      </w:r>
    </w:p>
    <w:p>
      <w:pPr>
        <w:pStyle w:val="Heading2"/>
        <w:ind w:hanging="0" w:start="0"/>
        <w:rPr>
          <w:b w:val="false"/>
          <w:bCs w:val="false"/>
          <w:u w:val="none"/>
        </w:rPr>
      </w:pPr>
      <w:r>
        <w:rPr>
          <w:b w:val="false"/>
          <w:bCs w:val="false"/>
          <w:u w:val="none"/>
          <w:rPrChange w:id="0" w:author="Unknown" w:date="0-00-00T00:00:00Z"/>
        </w:rPr>
        <w:rPrChange w:id="0" w:author="Unknown" w:date="0-00-00T00:00:00Z"/>
      </w:r>
    </w:p>
    <w:p>
      <w:pPr>
        <w:pStyle w:val="BodyText"/>
        <w:rPr/>
      </w:pPr>
      <w:r>
        <w:rPr>
          <w:rFonts w:cs="Times New Roman" w:ascii="Times New Roman" w:hAnsi="Times New Roman"/>
          <w:b/>
          <w:bCs/>
          <w:sz w:val="24"/>
        </w:rPr>
        <w:t xml:space="preserve">System Capacity Assumptions – </w:t>
      </w:r>
      <w:r>
        <w:rPr>
          <w:rFonts w:cs="Times New Roman" w:ascii="Times New Roman" w:hAnsi="Times New Roman"/>
          <w:sz w:val="24"/>
        </w:rPr>
        <w:t xml:space="preserve">The system capacity assumptions used in these studies can be traced primarily to two flow sheets, both of which were filed in the Line No. 2000 proceeding at Docket No. CP00-422-000 and CP00-422-001.  North system capacities were based on flowsheet FERC 1006 (the “With Line No. 2000” summer case).   South System capacities were based on the summer flowsheet filed as part of the amendment to convert the project into an expansion.  That flowsheet is titled “South Systems Incorporating Line 2000 As Loop - 230 MMcf Expansion With Compression Retained on CAML LP Lines.”  The only system capacity used that cannot be traced to these flowsheets is the capacity of the Permian-San Juan Crossover.  Because neither of those flowsheets fully loaded that segment of the system and because we wanted to reflect all of the capacity that is available, we used a capacity for that segment of the system of 650 MMcf/d.  This is a value routinely used in allocating capacity during periods of high demand on that segment of the pipeline.  </w:t>
      </w:r>
    </w:p>
    <w:p>
      <w:pPr>
        <w:pStyle w:val="BodyText"/>
        <w:rPr>
          <w:rFonts w:ascii="Times New Roman" w:hAnsi="Times New Roman" w:cs="Times New Roman"/>
          <w:sz w:val="24"/>
        </w:rPr>
      </w:pPr>
      <w:r>
        <w:rPr>
          <w:rFonts w:cs="Times New Roman" w:ascii="Times New Roman" w:hAnsi="Times New Roman"/>
          <w:sz w:val="24"/>
        </w:rPr>
      </w:r>
    </w:p>
    <w:p>
      <w:pPr>
        <w:pStyle w:val="BodyText"/>
        <w:rPr/>
      </w:pPr>
      <w:r>
        <w:rPr>
          <w:rFonts w:cs="Times New Roman" w:ascii="Times New Roman" w:hAnsi="Times New Roman"/>
          <w:b/>
          <w:bCs/>
          <w:sz w:val="24"/>
        </w:rPr>
        <w:t xml:space="preserve">Physical Receipt Simulation – </w:t>
      </w:r>
      <w:r>
        <w:rPr>
          <w:rFonts w:cs="Times New Roman" w:ascii="Times New Roman" w:hAnsi="Times New Roman"/>
          <w:sz w:val="24"/>
        </w:rPr>
        <w:t xml:space="preserve">The scheduling system requires information on the physical receipt points used to supply each pooling area.  Because shippers were only asked to indicate their preference as to the pooling area, El Paso had to make assumptions as to which interconnects within each pooling area would supply the necessary gas.  We chose to load the largest interconnects first.  Once the largest receipt interconnect in the pool was fully utilized, the next largest receipt interconnect was used until all the nominations were satisfied.  </w:t>
      </w:r>
    </w:p>
    <w:p>
      <w:pPr>
        <w:pStyle w:val="BodyText"/>
        <w:rPr>
          <w:rFonts w:ascii="Times New Roman" w:hAnsi="Times New Roman" w:cs="Times New Roman"/>
          <w:sz w:val="24"/>
        </w:rPr>
      </w:pPr>
      <w:r>
        <w:rPr>
          <w:rFonts w:cs="Times New Roman" w:ascii="Times New Roman" w:hAnsi="Times New Roman"/>
          <w:sz w:val="24"/>
        </w:rPr>
      </w:r>
    </w:p>
    <w:p>
      <w:pPr>
        <w:pStyle w:val="BodyText"/>
        <w:rPr/>
      </w:pPr>
      <w:r>
        <w:rPr>
          <w:rFonts w:cs="Times New Roman" w:ascii="Times New Roman" w:hAnsi="Times New Roman"/>
          <w:b/>
          <w:bCs/>
          <w:sz w:val="24"/>
        </w:rPr>
        <w:t xml:space="preserve">FT-2 Shipper Receipt Preferences </w:t>
      </w:r>
      <w:r>
        <w:rPr>
          <w:rFonts w:cs="Times New Roman" w:ascii="Times New Roman" w:hAnsi="Times New Roman"/>
          <w:sz w:val="24"/>
        </w:rPr>
        <w:t xml:space="preserve">– Because the FT-2 shippers were not required to submit data on their preference as to receipt locations, El Paso used a pro rata distribution based upon their average scheduled quantities for the prior 12 months. </w:t>
      </w:r>
    </w:p>
    <w:p>
      <w:pPr>
        <w:pStyle w:val="BodyText"/>
        <w:rPr>
          <w:rFonts w:ascii="Times New Roman" w:hAnsi="Times New Roman" w:cs="Times New Roman"/>
          <w:b/>
          <w:bCs/>
          <w:sz w:val="24"/>
        </w:rPr>
      </w:pPr>
      <w:r>
        <w:rPr>
          <w:rFonts w:cs="Times New Roman" w:ascii="Times New Roman" w:hAnsi="Times New Roman"/>
          <w:b/>
          <w:bCs/>
          <w:sz w:val="24"/>
        </w:rPr>
      </w:r>
    </w:p>
    <w:p>
      <w:pPr>
        <w:pStyle w:val="BodyText"/>
        <w:rPr/>
      </w:pPr>
      <w:r>
        <w:rPr>
          <w:rFonts w:cs="Times New Roman" w:ascii="Times New Roman" w:hAnsi="Times New Roman"/>
          <w:b/>
          <w:bCs/>
          <w:sz w:val="24"/>
        </w:rPr>
        <w:t xml:space="preserve">Allocation of Loads Among Multiple Delivery Points - </w:t>
      </w:r>
      <w:r>
        <w:rPr>
          <w:rFonts w:cs="Times New Roman" w:ascii="Times New Roman" w:hAnsi="Times New Roman"/>
          <w:sz w:val="24"/>
        </w:rPr>
        <w:t xml:space="preserve">For those TSAs that have multiple delivery locations, we used the NCP of each delivery point (within the last 12 months) divided by the sum of all NCPs for that contract to create a ratio that was then used to distribute the shipper’s loads across all of the available delivery locations.  This was the only information used to allocate shipper’s loads across their delivery points for studies 1, 1B, 2, 3, and 3B.   In Studies 4A and 4B, the shippers had an opportunity to link specific supplies to specific delivery locations.  When a customer did not do so, we used the same pro-rata process as in the other studies. </w:t>
      </w:r>
    </w:p>
    <w:p>
      <w:pPr>
        <w:pStyle w:val="BodyText"/>
        <w:rPr>
          <w:rFonts w:ascii="Times New Roman" w:hAnsi="Times New Roman" w:cs="Times New Roman"/>
          <w:sz w:val="24"/>
        </w:rPr>
      </w:pPr>
      <w:r>
        <w:rPr>
          <w:rFonts w:cs="Times New Roman" w:ascii="Times New Roman" w:hAnsi="Times New Roman"/>
          <w:sz w:val="24"/>
        </w:rPr>
      </w:r>
    </w:p>
    <w:p>
      <w:pPr>
        <w:pStyle w:val="BodyText"/>
        <w:ind w:firstLine="720" w:end="0"/>
        <w:rPr>
          <w:rFonts w:ascii="Times New Roman" w:hAnsi="Times New Roman" w:cs="Times New Roman"/>
          <w:sz w:val="24"/>
        </w:rPr>
      </w:pPr>
      <w:r>
        <w:rPr>
          <w:rFonts w:cs="Times New Roman" w:ascii="Times New Roman" w:hAnsi="Times New Roman"/>
          <w:sz w:val="24"/>
        </w:rPr>
        <w:t>Three customers were impacted by delivery point capacity limitations carried in the current scheduling system that were lower than the NCP data reported for that customer:  Zia Natural Gas in Study 1 when 675 Dth was reported to have flowed through a point currently capped at 600 Dth;  MGI Resources in Study 3 when an NCP of 52,949 Dth was reported to have flowed to a point currently capped at 31,079 Dth; and,   Chemical Lime who, in Study 4A, projected a demand of 10,192 Dth at a point with a current capacity limit of 6,827 Dth.  In each case, because we were limiting the allocations to the capacity of the existing system, the current delivery point capacity limits were enforced.   This did not have a material impact on the results of the study.</w:t>
      </w:r>
    </w:p>
    <w:p>
      <w:pPr>
        <w:pStyle w:val="BodyText"/>
        <w:rPr>
          <w:rFonts w:ascii="Times New Roman" w:hAnsi="Times New Roman" w:cs="Times New Roman"/>
          <w:sz w:val="24"/>
        </w:rPr>
      </w:pPr>
      <w:r>
        <w:rPr>
          <w:rFonts w:cs="Times New Roman" w:ascii="Times New Roman" w:hAnsi="Times New Roman"/>
          <w:sz w:val="24"/>
        </w:rPr>
      </w:r>
    </w:p>
    <w:p>
      <w:pPr>
        <w:pStyle w:val="BodyText"/>
        <w:ind w:firstLine="720" w:end="0"/>
        <w:rPr>
          <w:rFonts w:ascii="Times New Roman" w:hAnsi="Times New Roman" w:cs="Times New Roman"/>
          <w:sz w:val="24"/>
        </w:rPr>
      </w:pPr>
      <w:r>
        <w:rPr>
          <w:rFonts w:cs="Times New Roman" w:ascii="Times New Roman" w:hAnsi="Times New Roman"/>
          <w:sz w:val="24"/>
        </w:rPr>
        <w:t xml:space="preserve">In Study 4, Phelps Dodge projected a load of 40,000 Dth/d at a point that does not exist on El Paso's current system.  Because we were limiting the allocations to the capacity of the existing system, the model was not changed to add this point; therefore this volume was not considered in Study 4A or 4B.  This did not have a material impact on the results of the study.  </w:t>
      </w:r>
    </w:p>
    <w:p>
      <w:pPr>
        <w:pStyle w:val="BodyText"/>
        <w:rPr>
          <w:rFonts w:ascii="Times New Roman" w:hAnsi="Times New Roman" w:cs="Times New Roman"/>
          <w:sz w:val="24"/>
        </w:rPr>
      </w:pPr>
      <w:r>
        <w:rPr>
          <w:rFonts w:cs="Times New Roman" w:ascii="Times New Roman" w:hAnsi="Times New Roman"/>
          <w:sz w:val="24"/>
        </w:rPr>
      </w:r>
    </w:p>
    <w:p>
      <w:pPr>
        <w:pStyle w:val="Heading2"/>
        <w:keepLines/>
        <w:ind w:hanging="0" w:start="0"/>
        <w:rPr/>
      </w:pPr>
      <w:r>
        <w:rPr>
          <w:rPrChange w:id="0" w:author="El Paso Energy Corp" w:date="2001-08-13T17:16:00Z"/>
        </w:rPr>
        <w:t xml:space="preserve">Results </w:t>
      </w:r>
    </w:p>
    <w:p>
      <w:pPr>
        <w:pStyle w:val="Normal"/>
        <w:keepNext w:val="true"/>
        <w:keepLines/>
        <w:rPr>
          <w:b/>
          <w:bCs/>
          <w:u w:val="single"/>
        </w:rPr>
      </w:pPr>
      <w:r>
        <w:rPr>
          <w:b/>
          <w:bCs/>
          <w:u w:val="single"/>
        </w:rPr>
      </w:r>
    </w:p>
    <w:p>
      <w:pPr>
        <w:pStyle w:val="Normal"/>
        <w:rPr/>
      </w:pPr>
      <w:r>
        <w:rPr/>
        <w:tab/>
        <w:t xml:space="preserve">Summarized results of all seven studies are shown in the Excel document “Sent out to Customers.xls”.  This workbook contains multiple spreadsheets.  The first spreadsheet on the left end of the bottom toolbar is a summary that shows how much capacity was “sought” by each shipper in each case and the quantity that was </w:t>
      </w:r>
      <w:r>
        <w:rPr>
          <w:u w:val="single"/>
        </w:rPr>
        <w:t>not</w:t>
      </w:r>
      <w:r>
        <w:rPr/>
        <w:t xml:space="preserve"> allocated (See Tab 3).  In the upper left corner of this spreadsheet is a cell with red lettering in which you can enter a contract number to cause the program to display the results for that contract on one line and the overall results for the owner of that contract on the line immediately below.  This function is provided to make it easier for a shipper to compare his results to those of other shippers.  </w:t>
      </w:r>
    </w:p>
    <w:p>
      <w:pPr>
        <w:pStyle w:val="Normal"/>
        <w:rPr/>
      </w:pPr>
      <w:r>
        <w:rPr/>
      </w:r>
    </w:p>
    <w:p>
      <w:pPr>
        <w:pStyle w:val="Normal"/>
        <w:ind w:firstLine="720" w:end="0"/>
        <w:rPr/>
      </w:pPr>
      <w:r>
        <w:rPr/>
        <w:t xml:space="preserve">Moving from left to right on the bottom toolbar, there are spreadsheets summarizing each of the individual studies (see Tabs 4 through 11).  These more detailed reports show the quantity “sought” and the quantity that was successfully allocated to each of the proposed pooling areas.  In addition, the results are summed to show approximately how much would be attributable to each of the current six pooling areas and how much came from each of the supply basins.  On the extreme right side of each spreadsheet are a series of columns indicating what percentage of the shipper’s volumes was allocated to each receipt basin.  If not all of the volumes being sought could be allocated, the total of these percentages will be less than 100%.  A lookup function similar to that described for the summary spreadsheet is also provided on each of these sheets.  </w:t>
      </w:r>
    </w:p>
    <w:p>
      <w:pPr>
        <w:pStyle w:val="Normal"/>
        <w:ind w:firstLine="720" w:end="0"/>
        <w:rPr/>
      </w:pPr>
      <w:r>
        <w:rPr/>
      </w:r>
    </w:p>
    <w:p>
      <w:pPr>
        <w:pStyle w:val="Normal"/>
        <w:ind w:firstLine="720" w:end="0"/>
        <w:rPr/>
      </w:pPr>
      <w:r>
        <w:rPr/>
        <w:t xml:space="preserve">On the extreme right side of the workbook (see Tab 12) is a spreadsheet that summarizes the responses received from each of the customers as to their receipt and delivery point preferences and the associated volumes.  </w:t>
      </w:r>
    </w:p>
    <w:p>
      <w:pPr>
        <w:pStyle w:val="Normal"/>
        <w:rPr/>
      </w:pPr>
      <w:r>
        <w:rPr/>
      </w:r>
    </w:p>
    <w:p>
      <w:pPr>
        <w:pStyle w:val="Heading3"/>
        <w:keepLines/>
        <w:ind w:hanging="0" w:start="0"/>
        <w:rPr>
          <w:b w:val="false"/>
          <w:bCs w:val="false"/>
          <w:u w:val="single"/>
        </w:rPr>
      </w:pPr>
      <w:r>
        <w:rPr>
          <w:b w:val="false"/>
          <w:bCs w:val="false"/>
          <w:u w:val="single"/>
        </w:rPr>
        <w:t>Study 2 – Tab 4 and 5</w:t>
      </w:r>
    </w:p>
    <w:p>
      <w:pPr>
        <w:pStyle w:val="Normal"/>
        <w:keepNext w:val="true"/>
        <w:keepLines/>
        <w:rPr>
          <w:b/>
          <w:bCs/>
          <w:u w:val="single"/>
        </w:rPr>
      </w:pPr>
      <w:r>
        <w:rPr>
          <w:b/>
          <w:bCs/>
          <w:u w:val="single"/>
        </w:rPr>
      </w:r>
    </w:p>
    <w:p>
      <w:pPr>
        <w:pStyle w:val="BodyTextIndent2"/>
        <w:rPr/>
      </w:pPr>
      <w:r>
        <w:rPr/>
        <w:t xml:space="preserve">El Paso focused first on Study 2 because it allocates capacity as proposed in El Paso's March 27, 2001 filing.  The results of this study demonstrate that El Paso can, using this approach, allocate to each FT-1 shipper receipt rights equal to such shipper’s CD or BD.  Rights were allocated to FR contracts with BDs totaling 788 MDth/d and to CD contracts with CDs totaling 4,315 MDth/d.  Deliveries to points consuming west flow capacity -- defined for purposes of these studies as west-flow capacity at the Window Rock and Cornudas compressor stations -- totaled 4,544 MMcf/d.  For this study only, El Paso is providing detailed information on the individual receipt and delivery point combinations selected as a result of the allocation processes described above.  These can be found on the sheet titled “Study 2 Delv Dth By Location.” </w:t>
      </w:r>
    </w:p>
    <w:p>
      <w:pPr>
        <w:pStyle w:val="Normal"/>
        <w:ind w:firstLine="720" w:end="0"/>
        <w:rPr/>
      </w:pPr>
      <w:r>
        <w:rPr/>
      </w:r>
    </w:p>
    <w:p>
      <w:pPr>
        <w:pStyle w:val="Normal"/>
        <w:rPr/>
      </w:pPr>
      <w:r>
        <w:rPr/>
        <w:tab/>
        <w:t xml:space="preserve">For FT-1 shippers with system-wide receipt rights, the average allocation was approximately 62% to San Juan Basin pooling areas, 38% to Permian Basin pooling areas, and 0% to Anadarko Basin Pooling areas.  When compared to the design day capacity shown on the flowsheets referenced in the proposal, there was approximately 247 MMcf/d of west flow capacity remaining at the Cornudas West point when the allocation process had been completed.  This is essentially the Line No. 2000 expansion capacity that El Paso is installing to offset maintenance activities and improve reliability.  </w:t>
      </w:r>
    </w:p>
    <w:p>
      <w:pPr>
        <w:pStyle w:val="Normal"/>
        <w:rPr/>
      </w:pPr>
      <w:r>
        <w:rPr/>
      </w:r>
    </w:p>
    <w:p>
      <w:pPr>
        <w:pStyle w:val="Normal"/>
        <w:rPr/>
      </w:pPr>
      <w:r>
        <w:rPr/>
        <w:tab/>
        <w:t xml:space="preserve">In order to analyze how much the receipt point allocations that resulted from Study 2 are dependent on displacement transactions, the study was re-run twice, once eliminating all of the transactions originating in the Permian Basin and delivering to the north system and once eliminating the transactions originating in the San Juan Basin that deliver to points on the east end of the pipeline.  The first of these cases revealed that, without the Permian to North system transactions, less than 100 MMcf/d of the transactions originating in the San Juan Basin could not continue to be scheduled (a more precise answer is not available because potential impacts relating to changing fuel consumption patterns could not be modeled in the time available).  The second case revealed that, without the deliveries of San Juan gas to off system markets (particularly at Waha), 111 MMcf/d of transactions originating at various points could not continue to be scheduled.    These results are, however, dependant on the load distribution assumed and can change given the FR shipper’s right to vary their delivery location in response to shifting load patterns.  </w:t>
      </w:r>
    </w:p>
    <w:p>
      <w:pPr>
        <w:pStyle w:val="Normal"/>
        <w:rPr/>
      </w:pPr>
      <w:r>
        <w:rPr/>
        <w:tab/>
      </w:r>
    </w:p>
    <w:p>
      <w:pPr>
        <w:pStyle w:val="Normal"/>
        <w:keepNext w:val="true"/>
        <w:keepLines/>
        <w:rPr>
          <w:u w:val="single"/>
        </w:rPr>
      </w:pPr>
      <w:r>
        <w:rPr>
          <w:u w:val="single"/>
        </w:rPr>
        <w:t>Studies 1 and 1B - Tabs 6 and 7</w:t>
      </w:r>
    </w:p>
    <w:p>
      <w:pPr>
        <w:pStyle w:val="Normal"/>
        <w:keepNext w:val="true"/>
        <w:keepLines/>
        <w:rPr/>
      </w:pPr>
      <w:r>
        <w:rPr/>
      </w:r>
    </w:p>
    <w:p>
      <w:pPr>
        <w:pStyle w:val="BodyTextIndent"/>
        <w:ind w:firstLine="720" w:start="0" w:end="0"/>
        <w:rPr/>
      </w:pPr>
      <w:r>
        <w:rPr/>
        <w:t xml:space="preserve">The FR customers’ NCPs recorded during the Docket No. RP95-363-000 rate case test period totaled 1,127 MDth/d while the CPs totaled 791 MDth/d.  The NCPs were 339 MDth/d greater than the BDs that were agreed to in the settlement in that case and the CPs exceeded the BDs by 3 MDth/d.  Study 1B demonstrates that El Paso had the design day capacity to handle the coincident peak loads on the system without the addition of the Line No. 2000 expansion facilities.   Study 1 demonstrates that the system was never designed to supply each shipper’s non-coincidental peaks simultaneously.  </w:t>
      </w:r>
    </w:p>
    <w:p>
      <w:pPr>
        <w:pStyle w:val="BodyTextIndent"/>
        <w:ind w:firstLine="720" w:start="0" w:end="0"/>
        <w:rPr/>
      </w:pPr>
      <w:r>
        <w:rPr/>
      </w:r>
    </w:p>
    <w:p>
      <w:pPr>
        <w:pStyle w:val="BodyTextIndent"/>
        <w:keepNext w:val="true"/>
        <w:keepLines/>
        <w:ind w:start="0" w:end="0"/>
        <w:rPr>
          <w:u w:val="single"/>
        </w:rPr>
      </w:pPr>
      <w:r>
        <w:rPr>
          <w:u w:val="single"/>
        </w:rPr>
        <w:t>Studies 3 and 3B – Tabs 8 and 9</w:t>
      </w:r>
    </w:p>
    <w:p>
      <w:pPr>
        <w:pStyle w:val="BodyTextIndent"/>
        <w:keepNext w:val="true"/>
        <w:keepLines/>
        <w:rPr>
          <w:u w:val="single"/>
        </w:rPr>
      </w:pPr>
      <w:r>
        <w:rPr>
          <w:u w:val="single"/>
        </w:rPr>
      </w:r>
    </w:p>
    <w:p>
      <w:pPr>
        <w:pStyle w:val="BodyTextIndent"/>
        <w:ind w:start="0" w:end="0"/>
        <w:rPr/>
      </w:pPr>
      <w:r>
        <w:rPr/>
        <w:tab/>
        <w:t xml:space="preserve">The FR customers’ NCPs for the most recent 12 calendar months (July 2000 through June 2001) totaled 1,949 MDth/d while their CPs totaled 1,085 MDth/d.  These NCPs are 1,161 MDth/d greater than the BDs that were agreed to the Docket No. RP95-363-000 Settlement while the CPs are 297 MDth/d greater.  The quantity of capacity sought exceeded the system capacity for both the NCP and CP based studies (by 862 MDth/d in the study using NCPs and by 35 MDth/d in the study using CPs).   These two studies demonstrate the impact of the growth in the FR loads.  </w:t>
      </w:r>
    </w:p>
    <w:p>
      <w:pPr>
        <w:pStyle w:val="BodyTextIndent"/>
        <w:ind w:start="0" w:end="0"/>
        <w:rPr/>
      </w:pPr>
      <w:r>
        <w:rPr/>
      </w:r>
    </w:p>
    <w:p>
      <w:pPr>
        <w:pStyle w:val="BodyTextIndent"/>
        <w:ind w:start="0" w:end="0"/>
        <w:rPr>
          <w:u w:val="single"/>
        </w:rPr>
      </w:pPr>
      <w:r>
        <w:rPr>
          <w:u w:val="single"/>
        </w:rPr>
        <w:t>Study 4A and 4B - Tabs 10 and 11</w:t>
      </w:r>
    </w:p>
    <w:p>
      <w:pPr>
        <w:pStyle w:val="BodyTextIndent"/>
        <w:ind w:start="0" w:end="0"/>
        <w:rPr>
          <w:u w:val="single"/>
        </w:rPr>
      </w:pPr>
      <w:r>
        <w:rPr>
          <w:u w:val="single"/>
        </w:rPr>
      </w:r>
    </w:p>
    <w:p>
      <w:pPr>
        <w:pStyle w:val="BodyTextIndent"/>
        <w:ind w:firstLine="720" w:start="0" w:end="0"/>
        <w:rPr/>
      </w:pPr>
      <w:r>
        <w:rPr/>
        <w:t xml:space="preserve">In these two cases, the growth of the FR loads clearly exceeds the system capacity.  The projected demands represent an increase of 1,772 MDth/d over the NCPs experienced in the rate case test period and an increase of 951 MDth/d over the NCPs experienced over the last 12 months.  To be comparable to Studies 1 and 3, Study 4A was performed based on the total of each customer’s highest reported demand (i.e., winter or summer, whichever was greater).  Study 4B was performed using the projected winter demands (since, in aggregate, they were higher than the aggregate summer demands) to demonstrate the value of designing the pipeline and the contract structure for some version of CPs rather than NCPs.  </w:t>
      </w:r>
    </w:p>
    <w:p>
      <w:pPr>
        <w:pStyle w:val="BodyTextIndent"/>
        <w:rPr/>
      </w:pPr>
      <w:r>
        <w:rPr/>
      </w:r>
    </w:p>
    <w:p>
      <w:pPr>
        <w:pStyle w:val="BodyTextIndent"/>
        <w:keepNext w:val="true"/>
        <w:keepLines/>
        <w:ind w:start="0" w:end="0"/>
        <w:rPr>
          <w:b/>
          <w:bCs/>
        </w:rPr>
      </w:pPr>
      <w:r>
        <w:rPr>
          <w:b/>
          <w:bCs/>
        </w:rPr>
        <w:t>Conclusion</w:t>
      </w:r>
    </w:p>
    <w:p>
      <w:pPr>
        <w:pStyle w:val="BodyTextIndent"/>
        <w:keepNext w:val="true"/>
        <w:keepLines/>
        <w:ind w:start="0" w:end="0"/>
        <w:rPr>
          <w:b/>
          <w:bCs/>
        </w:rPr>
      </w:pPr>
      <w:r>
        <w:rPr>
          <w:b/>
          <w:bCs/>
        </w:rPr>
      </w:r>
    </w:p>
    <w:p>
      <w:pPr>
        <w:pStyle w:val="BodyTextIndent"/>
        <w:ind w:start="0" w:end="0"/>
        <w:rPr/>
      </w:pPr>
      <w:r>
        <w:rPr/>
        <w:tab/>
        <w:t xml:space="preserve">The conclusion to be drawn from these studies is patently clear.  El Paso's pipeline system was not designed, nor should it have been, to serve NCPs.  Sizing the pipeline in that manner would result in a system that is over-built.  Those surplus facilities would cause higher operating costs that would increase the pipeline’s rates.  These studies also demonstrate that there has been and will continue to be diversity in the time during the year at which various customer’s peak loads are experienced.  While the magnitude of that diversity has decreased in the recent past, there is still diversity in the forecasts supplied for Study 4A and 4B.  Unless shippers want to buy insurance against highly unlikely event that all NCPs will someday occur coincidentally, this data indicates that designing facilities to support the coincident peak day needs of a pipeline’s shippers is still a cost effective approach.  </w:t>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 xml:space="preserve">                                                                                                           </w:t>
    </w: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6</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bCs/>
        <w:sz w:val="28"/>
      </w:rPr>
    </w:pPr>
    <w:r>
      <w:rPr>
        <w:b/>
        <w:bCs/>
        <w:sz w:val="28"/>
      </w:rPr>
      <w:t>El Paso Natural Gas Company</w:t>
    </w:r>
  </w:p>
  <w:p>
    <w:pPr>
      <w:pStyle w:val="Header"/>
      <w:jc w:val="center"/>
      <w:rPr>
        <w:b/>
        <w:bCs/>
        <w:sz w:val="28"/>
      </w:rPr>
    </w:pPr>
    <w:r>
      <w:rPr>
        <w:b/>
        <w:bCs/>
        <w:sz w:val="28"/>
      </w:rPr>
      <w:t>Docket No. RP00-336-000</w:t>
    </w:r>
  </w:p>
  <w:p>
    <w:pPr>
      <w:pStyle w:val="Header"/>
      <w:jc w:val="center"/>
      <w:rPr>
        <w:b/>
        <w:bCs/>
        <w:sz w:val="28"/>
      </w:rPr>
    </w:pPr>
    <w:r>
      <w:rPr>
        <w:b/>
        <w:bCs/>
        <w:sz w:val="28"/>
      </w:rPr>
      <w:t>Report on Studies Requested At July 18, 2001 Technical Conference</w:t>
    </w:r>
  </w:p>
  <w:p>
    <w:pPr>
      <w:pStyle w:val="Header"/>
      <w:jc w:val="center"/>
      <w:rPr>
        <w:b/>
        <w:bCs/>
        <w:sz w:val="28"/>
      </w:rPr>
    </w:pPr>
    <w:r>
      <w:rPr>
        <w:b/>
        <w:bCs/>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u w:val="single"/>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outlineLvl w:val="2"/>
    </w:pPr>
    <w:rPr>
      <w:b/>
      <w:bC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FootnoteText">
    <w:name w:val="footnote text"/>
    <w:basedOn w:val="Normal"/>
    <w:pPr/>
    <w:rPr>
      <w:sz w:val="20"/>
      <w:szCs w:val="20"/>
    </w:rPr>
  </w:style>
  <w:style w:type="paragraph" w:styleId="BodyTextIndent2">
    <w:name w:val="Body Text Indent 2"/>
    <w:basedOn w:val="Normal"/>
    <w:qFormat/>
    <w:pPr>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2001-08-15T17:11:00Z</dcterms:created>
  <dc:creator>Bill Healy</dc:creator>
  <dc:description/>
  <dc:language>en-CA</dc:language>
  <cp:lastModifiedBy>El Paso Energy Corp</cp:lastModifiedBy>
  <cp:lastPrinted>2001-08-15T15:30:00Z</cp:lastPrinted>
  <dcterms:modified xsi:type="dcterms:W3CDTF">2001-08-15T19:02:00Z</dcterms:modified>
  <cp:revision>4</cp:revision>
  <dc:subject/>
  <dc:title>At the July 18, 2001 Technical Conference in this proceeding, El Paso was asked to provide data on customer utilizatin of the </dc:title>
</cp:coreProperties>
</file>