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rFonts w:ascii="Book Antiqua" w:hAnsi="Book Antiqua" w:cs="Book Antiqua"/>
          <w:sz w:val="24"/>
        </w:rPr>
      </w:pPr>
      <w:r>
        <w:rPr>
          <w:rFonts w:cs="Book Antiqua" w:ascii="Book Antiqua" w:hAnsi="Book Antiqua"/>
          <w:sz w:val="24"/>
        </w:rPr>
        <w:t>DUG/</w:t>
      </w:r>
    </w:p>
    <w:p>
      <w:pPr>
        <w:pStyle w:val="Header"/>
        <w:rPr>
          <w:rFonts w:ascii="Book Antiqua" w:hAnsi="Book Antiqua" w:cs="Book Antiqua"/>
          <w:sz w:val="24"/>
        </w:rPr>
      </w:pPr>
      <w:r>
        <w:rPr>
          <w:rFonts w:cs="Book Antiqua" w:ascii="Book Antiqua" w:hAnsi="Book Antiqua"/>
          <w:sz w:val="24"/>
        </w:rPr>
      </w:r>
    </w:p>
    <w:p>
      <w:pPr>
        <w:pStyle w:val="Header"/>
        <w:rPr>
          <w:rFonts w:ascii="Book Antiqua" w:hAnsi="Book Antiqua" w:cs="Book Antiqua"/>
          <w:sz w:val="24"/>
        </w:rPr>
      </w:pPr>
      <w:r>
        <w:rPr>
          <w:rFonts w:cs="Book Antiqua" w:ascii="Book Antiqua" w:hAnsi="Book Antiqua"/>
          <w:sz w:val="24"/>
        </w:rPr>
      </w:r>
    </w:p>
    <w:p>
      <w:pPr>
        <w:pStyle w:val="main"/>
        <w:rPr>
          <w:rFonts w:ascii="Book Antiqua" w:hAnsi="Book Antiqua" w:cs="Book Antiqua"/>
          <w:sz w:val="24"/>
        </w:rPr>
      </w:pPr>
      <w:r>
        <w:rPr>
          <w:rFonts w:cs="Book Antiqua" w:ascii="Book Antiqua" w:hAnsi="Book Antiqua"/>
          <w:sz w:val="24"/>
        </w:rPr>
        <w:t>BEFORE THE PUBLIC UTILITIES COMMISSION OF THE STATE OF CALIFORNIA</w:t>
      </w:r>
    </w:p>
    <w:p>
      <w:pPr>
        <w:pStyle w:val="Header"/>
        <w:widowControl/>
        <w:tabs>
          <w:tab w:val="clear" w:pos="4320"/>
          <w:tab w:val="clear" w:pos="8640"/>
        </w:tabs>
        <w:suppressAutoHyphens w:val="true"/>
        <w:rPr>
          <w:rFonts w:ascii="Book Antiqua" w:hAnsi="Book Antiqua" w:cs="Book Antiqua"/>
          <w:sz w:val="24"/>
        </w:rPr>
      </w:pPr>
      <w:r>
        <w:rPr>
          <w:rFonts w:cs="Book Antiqua" w:ascii="Book Antiqua" w:hAnsi="Book Antiqua"/>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rFonts w:ascii="Book Antiqua" w:hAnsi="Book Antiqua" w:cs="Book Antiqua"/>
                <w:sz w:val="24"/>
              </w:rPr>
            </w:pPr>
            <w:r>
              <w:rPr>
                <w:rFonts w:cs="Book Antiqua" w:ascii="Book Antiqua" w:hAnsi="Book Antiqua"/>
                <w:sz w:val="24"/>
              </w:rPr>
              <w:t xml:space="preserve">Application of Southern California Edison Company (E 3338-E) for Authority to Institute a Rate Stabilization Plan with a Rate Increase and End of Rate Freeze Tariffs. </w:t>
            </w:r>
          </w:p>
          <w:p>
            <w:pPr>
              <w:pStyle w:val="Normal"/>
              <w:rPr>
                <w:rFonts w:ascii="Book Antiqua" w:hAnsi="Book Antiqua" w:cs="Book Antiqua"/>
                <w:sz w:val="24"/>
              </w:rPr>
            </w:pPr>
            <w:r>
              <w:rPr>
                <w:rFonts w:cs="Book Antiqua" w:ascii="Book Antiqua" w:hAnsi="Book Antiqua"/>
                <w:sz w:val="24"/>
              </w:rPr>
            </w:r>
          </w:p>
        </w:tc>
        <w:tc>
          <w:tcPr>
            <w:tcW w:w="3287" w:type="dxa"/>
            <w:tcBorders/>
          </w:tcPr>
          <w:p>
            <w:pPr>
              <w:pStyle w:val="Normal"/>
              <w:snapToGrid w:val="false"/>
              <w:jc w:val="center"/>
              <w:rPr>
                <w:rFonts w:ascii="Book Antiqua" w:hAnsi="Book Antiqua" w:cs="Book Antiqua"/>
                <w:sz w:val="24"/>
              </w:rPr>
            </w:pPr>
            <w:r>
              <w:rPr>
                <w:rFonts w:cs="Book Antiqua" w:ascii="Book Antiqua" w:hAnsi="Book Antiqua"/>
                <w:sz w:val="24"/>
              </w:rPr>
            </w:r>
          </w:p>
          <w:p>
            <w:pPr>
              <w:pStyle w:val="Normal"/>
              <w:jc w:val="center"/>
              <w:rPr>
                <w:rFonts w:ascii="Book Antiqua" w:hAnsi="Book Antiqua" w:cs="Book Antiqua"/>
                <w:sz w:val="24"/>
              </w:rPr>
            </w:pPr>
            <w:r>
              <w:rPr>
                <w:rFonts w:cs="Book Antiqua" w:ascii="Book Antiqua" w:hAnsi="Book Antiqua"/>
                <w:sz w:val="24"/>
              </w:rPr>
              <w:t>Application 00-11-038</w:t>
            </w:r>
          </w:p>
          <w:p>
            <w:pPr>
              <w:pStyle w:val="Normal"/>
              <w:jc w:val="center"/>
              <w:rPr>
                <w:rFonts w:ascii="Book Antiqua" w:hAnsi="Book Antiqua" w:cs="Book Antiqua"/>
                <w:sz w:val="24"/>
              </w:rPr>
            </w:pPr>
            <w:r>
              <w:rPr>
                <w:rFonts w:cs="Book Antiqua" w:ascii="Book Antiqua" w:hAnsi="Book Antiqua"/>
                <w:sz w:val="24"/>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t xml:space="preserve">Emergency Application of Pacific Gas and Electric Company to Adopt a Rate Stabilization Plan.                                               (U 39 E) </w:t>
            </w:r>
          </w:p>
          <w:p>
            <w:pPr>
              <w:pStyle w:val="Normal"/>
              <w:rPr>
                <w:rFonts w:ascii="Book Antiqua" w:hAnsi="Book Antiqua" w:cs="Book Antiqua"/>
                <w:sz w:val="24"/>
              </w:rPr>
            </w:pPr>
            <w:r>
              <w:rPr>
                <w:rFonts w:cs="Book Antiqua" w:ascii="Book Antiqua" w:hAnsi="Book Antiqua"/>
                <w:sz w:val="24"/>
              </w:rPr>
            </w:r>
          </w:p>
        </w:tc>
        <w:tc>
          <w:tcPr>
            <w:tcW w:w="3287" w:type="dxa"/>
            <w:tcBorders/>
          </w:tcPr>
          <w:p>
            <w:pPr>
              <w:pStyle w:val="Normal"/>
              <w:snapToGrid w:val="false"/>
              <w:jc w:val="center"/>
              <w:rPr>
                <w:rFonts w:ascii="Book Antiqua" w:hAnsi="Book Antiqua" w:cs="Book Antiqua"/>
                <w:sz w:val="24"/>
              </w:rPr>
            </w:pPr>
            <w:r>
              <w:rPr>
                <w:rFonts w:cs="Book Antiqua" w:ascii="Book Antiqua" w:hAnsi="Book Antiqua"/>
                <w:sz w:val="24"/>
              </w:rPr>
            </w:r>
          </w:p>
          <w:p>
            <w:pPr>
              <w:pStyle w:val="Normal"/>
              <w:jc w:val="center"/>
              <w:rPr>
                <w:rFonts w:ascii="Book Antiqua" w:hAnsi="Book Antiqua" w:cs="Book Antiqua"/>
                <w:sz w:val="24"/>
              </w:rPr>
            </w:pPr>
            <w:r>
              <w:rPr>
                <w:rFonts w:cs="Book Antiqua" w:ascii="Book Antiqua" w:hAnsi="Book Antiqua"/>
                <w:sz w:val="24"/>
              </w:rPr>
              <w:t>Application 00-11-056</w:t>
            </w:r>
          </w:p>
          <w:p>
            <w:pPr>
              <w:pStyle w:val="Normal"/>
              <w:jc w:val="center"/>
              <w:rPr>
                <w:rFonts w:ascii="Book Antiqua" w:hAnsi="Book Antiqua" w:cs="Book Antiqua"/>
                <w:sz w:val="24"/>
              </w:rPr>
            </w:pPr>
            <w:r>
              <w:rPr>
                <w:rFonts w:cs="Book Antiqua" w:ascii="Book Antiqua" w:hAnsi="Book Antiqua"/>
                <w:sz w:val="24"/>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Book Antiqua" w:hAnsi="Book Antiqua" w:cs="Book Antiqua"/>
                <w:sz w:val="24"/>
              </w:rPr>
            </w:pPr>
            <w:r>
              <w:rPr>
                <w:rFonts w:cs="Book Antiqua" w:ascii="Book Antiqua" w:hAnsi="Book Antiqua"/>
                <w:sz w:val="24"/>
              </w:rPr>
            </w:r>
          </w:p>
          <w:p>
            <w:pPr>
              <w:pStyle w:val="Normal"/>
              <w:tabs>
                <w:tab w:val="clear" w:pos="720"/>
                <w:tab w:val="left" w:pos="2160" w:leader="none"/>
                <w:tab w:val="left" w:pos="3600" w:leader="none"/>
              </w:tabs>
              <w:rPr>
                <w:rFonts w:ascii="Book Antiqua" w:hAnsi="Book Antiqua" w:cs="Book Antiqua"/>
                <w:sz w:val="24"/>
              </w:rPr>
            </w:pPr>
            <w:r>
              <w:rPr>
                <w:rFonts w:cs="Book Antiqua" w:ascii="Book Antiqua" w:hAnsi="Book Antiqua"/>
                <w:sz w:val="24"/>
              </w:rPr>
              <w:t>Petition of THE UTILITY REFORM NETWORK for Modification of Resolution E-3527.</w:t>
            </w:r>
          </w:p>
          <w:p>
            <w:pPr>
              <w:pStyle w:val="Normal"/>
              <w:rPr>
                <w:rFonts w:ascii="Book Antiqua" w:hAnsi="Book Antiqua" w:cs="Book Antiqua"/>
                <w:sz w:val="24"/>
              </w:rPr>
            </w:pPr>
            <w:r>
              <w:rPr>
                <w:rFonts w:cs="Book Antiqua" w:ascii="Book Antiqua" w:hAnsi="Book Antiqua"/>
                <w:sz w:val="24"/>
              </w:rPr>
            </w:r>
          </w:p>
        </w:tc>
        <w:tc>
          <w:tcPr>
            <w:tcW w:w="3287" w:type="dxa"/>
            <w:tcBorders/>
          </w:tcPr>
          <w:p>
            <w:pPr>
              <w:pStyle w:val="Normal"/>
              <w:snapToGrid w:val="false"/>
              <w:jc w:val="center"/>
              <w:rPr>
                <w:rFonts w:ascii="Book Antiqua" w:hAnsi="Book Antiqua" w:cs="Book Antiqua"/>
                <w:sz w:val="24"/>
              </w:rPr>
            </w:pPr>
            <w:r>
              <w:rPr>
                <w:rFonts w:cs="Book Antiqua" w:ascii="Book Antiqua" w:hAnsi="Book Antiqua"/>
                <w:sz w:val="24"/>
              </w:rPr>
            </w:r>
          </w:p>
          <w:p>
            <w:pPr>
              <w:pStyle w:val="Normal"/>
              <w:jc w:val="center"/>
              <w:rPr>
                <w:rFonts w:ascii="Book Antiqua" w:hAnsi="Book Antiqua" w:cs="Book Antiqua"/>
                <w:sz w:val="24"/>
              </w:rPr>
            </w:pPr>
            <w:r>
              <w:rPr>
                <w:rFonts w:cs="Book Antiqua" w:ascii="Book Antiqua" w:hAnsi="Book Antiqua"/>
                <w:sz w:val="24"/>
              </w:rPr>
              <w:t>Application 00-10-028</w:t>
            </w:r>
          </w:p>
          <w:p>
            <w:pPr>
              <w:pStyle w:val="Normal"/>
              <w:jc w:val="center"/>
              <w:rPr>
                <w:rFonts w:ascii="Book Antiqua" w:hAnsi="Book Antiqua" w:cs="Book Antiqua"/>
                <w:sz w:val="24"/>
              </w:rPr>
            </w:pPr>
            <w:r>
              <w:rPr>
                <w:rFonts w:cs="Book Antiqua" w:ascii="Book Antiqua" w:hAnsi="Book Antiqua"/>
                <w:sz w:val="24"/>
              </w:rPr>
              <w:t>(Filed October 17, 2000)</w:t>
            </w:r>
          </w:p>
        </w:tc>
      </w:tr>
    </w:tbl>
    <w:p>
      <w:pPr>
        <w:pStyle w:val="main"/>
        <w:rPr>
          <w:rFonts w:ascii="Book Antiqua" w:hAnsi="Book Antiqua" w:cs="Book Antiqua"/>
          <w:sz w:val="24"/>
        </w:rPr>
      </w:pPr>
      <w:r>
        <w:rPr>
          <w:rFonts w:cs="Book Antiqua" w:ascii="Book Antiqua" w:hAnsi="Book Antiqua"/>
          <w:sz w:val="24"/>
        </w:rPr>
      </w:r>
    </w:p>
    <w:p>
      <w:pPr>
        <w:pStyle w:val="main"/>
        <w:rPr>
          <w:rFonts w:ascii="Book Antiqua" w:hAnsi="Book Antiqua" w:cs="Book Antiqua"/>
          <w:sz w:val="24"/>
        </w:rPr>
      </w:pPr>
      <w:r>
        <w:rPr>
          <w:rFonts w:cs="Book Antiqua" w:ascii="Book Antiqua" w:hAnsi="Book Antiqua"/>
          <w:sz w:val="24"/>
        </w:rPr>
      </w:r>
    </w:p>
    <w:p>
      <w:pPr>
        <w:pStyle w:val="Heading6"/>
        <w:rPr>
          <w:rFonts w:ascii="Book Antiqua" w:hAnsi="Book Antiqua" w:cs="Book Antiqua"/>
          <w:sz w:val="24"/>
        </w:rPr>
      </w:pPr>
      <w:r>
        <w:rPr>
          <w:rFonts w:cs="Book Antiqua" w:ascii="Book Antiqua" w:hAnsi="Book Antiqua"/>
          <w:sz w:val="24"/>
        </w:rPr>
        <w:t>WORKSHOP NOTICE</w:t>
      </w:r>
    </w:p>
    <w:p>
      <w:pPr>
        <w:pStyle w:val="Normal"/>
        <w:ind w:start="-90" w:end="0"/>
        <w:rPr>
          <w:rFonts w:ascii="Book Antiqua" w:hAnsi="Book Antiqua" w:cs="Book Antiqua"/>
          <w:sz w:val="24"/>
        </w:rPr>
      </w:pPr>
      <w:r>
        <w:rPr>
          <w:rFonts w:cs="Book Antiqua" w:ascii="Book Antiqua" w:hAnsi="Book Antiqua"/>
          <w:sz w:val="24"/>
        </w:rPr>
      </w:r>
    </w:p>
    <w:p>
      <w:pPr>
        <w:pStyle w:val="Normal"/>
        <w:ind w:start="-90" w:end="0"/>
        <w:rPr>
          <w:rFonts w:ascii="Book Antiqua" w:hAnsi="Book Antiqua" w:cs="Book Antiqua"/>
          <w:sz w:val="24"/>
        </w:rPr>
      </w:pPr>
      <w:r>
        <w:rPr>
          <w:rFonts w:cs="Book Antiqua" w:ascii="Book Antiqua" w:hAnsi="Book Antiqua"/>
          <w:sz w:val="24"/>
        </w:rPr>
      </w:r>
    </w:p>
    <w:p>
      <w:pPr>
        <w:pStyle w:val="Header"/>
        <w:widowControl/>
        <w:tabs>
          <w:tab w:val="clear" w:pos="4320"/>
          <w:tab w:val="clear" w:pos="8640"/>
        </w:tabs>
        <w:rPr>
          <w:rFonts w:ascii="Book Antiqua" w:hAnsi="Book Antiqua" w:cs="Book Antiqua"/>
          <w:b/>
          <w:sz w:val="24"/>
        </w:rPr>
      </w:pPr>
      <w:r>
        <w:rPr>
          <w:rFonts w:cs="Book Antiqua" w:ascii="Book Antiqua" w:hAnsi="Book Antiqua"/>
          <w:b/>
          <w:sz w:val="24"/>
        </w:rPr>
        <w:t>TO:  ALL PARTIES IN APPLICATION 00-11-038 ET AL.</w:t>
      </w:r>
    </w:p>
    <w:p>
      <w:pPr>
        <w:pStyle w:val="Normal"/>
        <w:rPr>
          <w:rFonts w:ascii="Book Antiqua" w:hAnsi="Book Antiqua" w:cs="Book Antiqua"/>
          <w:b/>
          <w:sz w:val="24"/>
        </w:rPr>
      </w:pPr>
      <w:r>
        <w:rPr>
          <w:rFonts w:cs="Book Antiqua" w:ascii="Book Antiqua" w:hAnsi="Book Antiqua"/>
          <w:b/>
          <w:sz w:val="24"/>
        </w:rPr>
      </w:r>
    </w:p>
    <w:p>
      <w:pPr>
        <w:pStyle w:val="standard"/>
        <w:rPr/>
      </w:pPr>
      <w:r>
        <w:rPr>
          <w:rFonts w:cs="Book Antiqua" w:ascii="Book Antiqua" w:hAnsi="Book Antiqua"/>
          <w:sz w:val="24"/>
        </w:rPr>
        <w:t xml:space="preserve">On </w:t>
      </w:r>
      <w:r>
        <w:rPr>
          <w:rFonts w:cs="Book Antiqua" w:ascii="Book Antiqua" w:hAnsi="Book Antiqua"/>
          <w:b/>
          <w:sz w:val="24"/>
        </w:rPr>
        <w:t>Tuesday, July 17</w:t>
      </w:r>
      <w:r>
        <w:rPr>
          <w:rFonts w:cs="Book Antiqua" w:ascii="Book Antiqua" w:hAnsi="Book Antiqua"/>
          <w:b/>
          <w:sz w:val="24"/>
          <w:vertAlign w:val="superscript"/>
        </w:rPr>
        <w:t>th</w:t>
      </w:r>
      <w:r>
        <w:rPr>
          <w:rFonts w:cs="Book Antiqua" w:ascii="Book Antiqua" w:hAnsi="Book Antiqua"/>
          <w:sz w:val="24"/>
        </w:rPr>
        <w:t>, the Commission’s Energy Division will hold a workshop to provide interested parties the opportunity to discuss issues identified in Decision 01-05-064.   A workshop agenda is attached to this notice.</w:t>
      </w:r>
    </w:p>
    <w:p>
      <w:pPr>
        <w:pStyle w:val="standard"/>
        <w:rPr>
          <w:rFonts w:ascii="Book Antiqua" w:hAnsi="Book Antiqua" w:cs="Book Antiqua"/>
          <w:sz w:val="24"/>
        </w:rPr>
      </w:pPr>
      <w:r>
        <w:rPr>
          <w:rFonts w:cs="Book Antiqua" w:ascii="Book Antiqua" w:hAnsi="Book Antiqua"/>
          <w:sz w:val="24"/>
        </w:rPr>
      </w:r>
    </w:p>
    <w:p>
      <w:pPr>
        <w:pStyle w:val="standard"/>
        <w:rPr>
          <w:rFonts w:ascii="Book Antiqua" w:hAnsi="Book Antiqua" w:cs="Book Antiqua"/>
          <w:sz w:val="24"/>
        </w:rPr>
      </w:pPr>
      <w:r>
        <w:rPr>
          <w:rFonts w:cs="Book Antiqua" w:ascii="Book Antiqua" w:hAnsi="Book Antiqua"/>
          <w:sz w:val="24"/>
        </w:rPr>
        <w:t>This workshop will address:</w:t>
      </w:r>
    </w:p>
    <w:p>
      <w:pPr>
        <w:pStyle w:val="standard"/>
        <w:numPr>
          <w:ilvl w:val="0"/>
          <w:numId w:val="4"/>
        </w:numPr>
        <w:tabs>
          <w:tab w:val="clear" w:pos="720"/>
          <w:tab w:val="left" w:pos="1080" w:leader="none"/>
        </w:tabs>
        <w:ind w:hanging="360" w:start="1080" w:end="0"/>
        <w:rPr>
          <w:rFonts w:ascii="Book Antiqua" w:hAnsi="Book Antiqua" w:cs="Book Antiqua"/>
          <w:sz w:val="24"/>
        </w:rPr>
      </w:pPr>
      <w:r>
        <w:rPr>
          <w:rFonts w:cs="Book Antiqua" w:ascii="Book Antiqua" w:hAnsi="Book Antiqua"/>
          <w:sz w:val="24"/>
        </w:rPr>
        <w:t>Agricultural Tariff  Definitions</w:t>
      </w:r>
    </w:p>
    <w:p>
      <w:pPr>
        <w:pStyle w:val="standard"/>
        <w:numPr>
          <w:ilvl w:val="0"/>
          <w:numId w:val="4"/>
        </w:numPr>
        <w:tabs>
          <w:tab w:val="clear" w:pos="720"/>
          <w:tab w:val="left" w:pos="1080" w:leader="none"/>
        </w:tabs>
        <w:ind w:hanging="360" w:start="1080" w:end="0"/>
        <w:rPr>
          <w:rFonts w:ascii="Book Antiqua" w:hAnsi="Book Antiqua" w:cs="Book Antiqua"/>
          <w:sz w:val="24"/>
        </w:rPr>
      </w:pPr>
      <w:r>
        <w:rPr>
          <w:rFonts w:cs="Book Antiqua" w:ascii="Book Antiqua" w:hAnsi="Book Antiqua"/>
          <w:sz w:val="24"/>
        </w:rPr>
        <w:t>“</w:t>
      </w:r>
      <w:r>
        <w:rPr>
          <w:rFonts w:cs="Book Antiqua" w:ascii="Book Antiqua" w:hAnsi="Book Antiqua"/>
          <w:sz w:val="24"/>
        </w:rPr>
        <w:t>Super Peak” Rates</w:t>
      </w:r>
    </w:p>
    <w:p>
      <w:pPr>
        <w:pStyle w:val="standard"/>
        <w:numPr>
          <w:ilvl w:val="0"/>
          <w:numId w:val="4"/>
        </w:numPr>
        <w:tabs>
          <w:tab w:val="clear" w:pos="720"/>
          <w:tab w:val="left" w:pos="1080" w:leader="none"/>
        </w:tabs>
        <w:ind w:hanging="360" w:start="1080" w:end="0"/>
        <w:rPr>
          <w:rFonts w:ascii="Book Antiqua" w:hAnsi="Book Antiqua" w:cs="Book Antiqua"/>
          <w:sz w:val="24"/>
        </w:rPr>
      </w:pPr>
      <w:r>
        <w:rPr>
          <w:rFonts w:cs="Book Antiqua" w:ascii="Book Antiqua" w:hAnsi="Book Antiqua"/>
          <w:sz w:val="24"/>
        </w:rPr>
        <w:t>Standard Industry Code (SIC) Classifications</w:t>
      </w:r>
    </w:p>
    <w:p>
      <w:pPr>
        <w:pStyle w:val="standard"/>
        <w:rPr>
          <w:rFonts w:ascii="Book Antiqua" w:hAnsi="Book Antiqua" w:cs="Book Antiqua"/>
          <w:sz w:val="24"/>
        </w:rPr>
      </w:pPr>
      <w:r>
        <w:rPr>
          <w:rFonts w:cs="Book Antiqua" w:ascii="Book Antiqua" w:hAnsi="Book Antiqua"/>
          <w:sz w:val="24"/>
        </w:rPr>
      </w:r>
    </w:p>
    <w:p>
      <w:pPr>
        <w:sectPr>
          <w:headerReference w:type="default" r:id="rId3"/>
          <w:headerReference w:type="first" r:id="rId4"/>
          <w:footerReference w:type="default" r:id="rId5"/>
          <w:footerReference w:type="first" r:id="rId6"/>
          <w:type w:val="nextPage"/>
          <w:pgSz w:w="12240" w:h="15840"/>
          <w:pgMar w:left="1440" w:right="1440" w:gutter="0" w:header="720" w:top="1152" w:footer="720" w:bottom="1440"/>
          <w:pgNumType w:fmt="decimal"/>
          <w:formProt w:val="false"/>
          <w:titlePg/>
          <w:textDirection w:val="lrTb"/>
          <w:docGrid w:type="default" w:linePitch="360" w:charSpace="0"/>
        </w:sectPr>
        <w:pStyle w:val="standard"/>
        <w:rPr/>
      </w:pPr>
      <w:r>
        <w:rPr>
          <w:rFonts w:cs="Book Antiqua" w:ascii="Book Antiqua" w:hAnsi="Book Antiqua"/>
          <w:sz w:val="24"/>
        </w:rPr>
        <w:t xml:space="preserve">The workshop will be held  at 505 Van Ness Avenue, San Francisco, in the Commission’s Auditorium, and will begin at </w:t>
      </w:r>
      <w:r>
        <w:rPr>
          <w:rFonts w:cs="Book Antiqua" w:ascii="Book Antiqua" w:hAnsi="Book Antiqua"/>
          <w:b/>
          <w:sz w:val="24"/>
        </w:rPr>
        <w:t xml:space="preserve">10:00 a.m. </w:t>
      </w:r>
      <w:r>
        <w:rPr>
          <w:rFonts w:cs="Book Antiqua" w:ascii="Book Antiqua" w:hAnsi="Book Antiqua"/>
          <w:sz w:val="24"/>
        </w:rPr>
        <w:t>on </w:t>
      </w:r>
      <w:r>
        <w:rPr>
          <w:rFonts w:cs="Book Antiqua" w:ascii="Book Antiqua" w:hAnsi="Book Antiqua"/>
          <w:b/>
          <w:sz w:val="24"/>
        </w:rPr>
        <w:t>Tuesday, July 17, 2001</w:t>
      </w:r>
      <w:r>
        <w:rPr>
          <w:rFonts w:cs="Book Antiqua" w:ascii="Book Antiqua" w:hAnsi="Book Antiqua"/>
          <w:sz w:val="24"/>
        </w:rPr>
        <w:t xml:space="preserve">.  Questions about the workshop may be addressed to Douglas Long of the Energy Division (e-mail:  </w:t>
      </w:r>
      <w:hyperlink r:id="rId2">
        <w:r>
          <w:rPr>
            <w:rStyle w:val="Hyperlink"/>
            <w:rFonts w:cs="Book Antiqua" w:ascii="Book Antiqua" w:hAnsi="Book Antiqua"/>
            <w:sz w:val="24"/>
          </w:rPr>
          <w:t>dug@cpuc.ca.gov</w:t>
        </w:r>
      </w:hyperlink>
      <w:r>
        <w:rPr>
          <w:rFonts w:cs="Book Antiqua" w:ascii="Book Antiqua" w:hAnsi="Book Antiqua"/>
          <w:sz w:val="24"/>
        </w:rPr>
        <w:t xml:space="preserve"> ).</w:t>
      </w:r>
    </w:p>
    <w:p>
      <w:pPr>
        <w:pStyle w:val="standard"/>
        <w:jc w:val="center"/>
        <w:rPr>
          <w:rFonts w:ascii="Book Antiqua" w:hAnsi="Book Antiqua" w:cs="Book Antiqua"/>
          <w:sz w:val="24"/>
        </w:rPr>
      </w:pPr>
      <w:r>
        <w:rPr>
          <w:rFonts w:cs="Book Antiqua" w:ascii="Book Antiqua" w:hAnsi="Book Antiqua"/>
          <w:sz w:val="24"/>
        </w:rPr>
        <w:t>A.00-11-038 et al.</w:t>
      </w:r>
    </w:p>
    <w:p>
      <w:pPr>
        <w:pStyle w:val="standard"/>
        <w:jc w:val="center"/>
        <w:rPr>
          <w:rFonts w:ascii="Book Antiqua" w:hAnsi="Book Antiqua" w:cs="Book Antiqua"/>
          <w:sz w:val="24"/>
        </w:rPr>
      </w:pPr>
      <w:r>
        <w:rPr>
          <w:rFonts w:cs="Book Antiqua" w:ascii="Book Antiqua" w:hAnsi="Book Antiqua"/>
          <w:sz w:val="24"/>
        </w:rPr>
      </w:r>
    </w:p>
    <w:p>
      <w:pPr>
        <w:pStyle w:val="standard"/>
        <w:jc w:val="center"/>
        <w:rPr>
          <w:rFonts w:ascii="Book Antiqua" w:hAnsi="Book Antiqua" w:cs="Book Antiqua"/>
          <w:b/>
          <w:sz w:val="24"/>
        </w:rPr>
      </w:pPr>
      <w:r>
        <w:rPr>
          <w:rFonts w:cs="Book Antiqua" w:ascii="Book Antiqua" w:hAnsi="Book Antiqua"/>
          <w:b/>
          <w:sz w:val="24"/>
        </w:rPr>
        <w:t>Workshop</w:t>
      </w:r>
    </w:p>
    <w:p>
      <w:pPr>
        <w:pStyle w:val="standard"/>
        <w:jc w:val="center"/>
        <w:rPr>
          <w:rFonts w:ascii="Book Antiqua" w:hAnsi="Book Antiqua" w:cs="Book Antiqua"/>
          <w:b/>
          <w:sz w:val="24"/>
        </w:rPr>
      </w:pPr>
      <w:r>
        <w:rPr>
          <w:rFonts w:cs="Book Antiqua" w:ascii="Book Antiqua" w:hAnsi="Book Antiqua"/>
          <w:b/>
          <w:sz w:val="24"/>
        </w:rPr>
        <w:t>California Public Utilities Commission</w:t>
      </w:r>
    </w:p>
    <w:p>
      <w:pPr>
        <w:pStyle w:val="standard"/>
        <w:jc w:val="center"/>
        <w:rPr>
          <w:rFonts w:ascii="Book Antiqua" w:hAnsi="Book Antiqua" w:cs="Book Antiqua"/>
          <w:b/>
          <w:sz w:val="24"/>
        </w:rPr>
      </w:pPr>
      <w:r>
        <w:rPr>
          <w:rFonts w:cs="Book Antiqua" w:ascii="Book Antiqua" w:hAnsi="Book Antiqua"/>
          <w:b/>
          <w:sz w:val="24"/>
        </w:rPr>
        <w:t>Auditorium</w:t>
      </w:r>
    </w:p>
    <w:p>
      <w:pPr>
        <w:pStyle w:val="standard"/>
        <w:jc w:val="center"/>
        <w:rPr/>
      </w:pPr>
      <w:r>
        <w:rPr>
          <w:rFonts w:cs="Book Antiqua" w:ascii="Book Antiqua" w:hAnsi="Book Antiqua"/>
          <w:b/>
          <w:sz w:val="24"/>
        </w:rPr>
        <w:t>July 17</w:t>
      </w:r>
      <w:r>
        <w:rPr>
          <w:rFonts w:cs="Book Antiqua" w:ascii="Book Antiqua" w:hAnsi="Book Antiqua"/>
          <w:b/>
          <w:sz w:val="24"/>
          <w:vertAlign w:val="superscript"/>
        </w:rPr>
        <w:t>th</w:t>
      </w:r>
      <w:r>
        <w:rPr>
          <w:rFonts w:cs="Book Antiqua" w:ascii="Book Antiqua" w:hAnsi="Book Antiqua"/>
          <w:b/>
          <w:sz w:val="24"/>
        </w:rPr>
        <w:t>, 2001</w:t>
      </w:r>
    </w:p>
    <w:p>
      <w:pPr>
        <w:pStyle w:val="standard"/>
        <w:jc w:val="center"/>
        <w:rPr>
          <w:rFonts w:ascii="Book Antiqua" w:hAnsi="Book Antiqua" w:cs="Book Antiqua"/>
          <w:b/>
          <w:sz w:val="24"/>
        </w:rPr>
      </w:pPr>
      <w:r>
        <w:rPr>
          <w:rFonts w:cs="Book Antiqua" w:ascii="Book Antiqua" w:hAnsi="Book Antiqua"/>
          <w:b/>
          <w:sz w:val="24"/>
        </w:rPr>
        <w:t>10 a.m. – 4 p.m.</w:t>
      </w:r>
    </w:p>
    <w:p>
      <w:pPr>
        <w:pStyle w:val="standard"/>
        <w:jc w:val="center"/>
        <w:rPr>
          <w:rFonts w:ascii="Book Antiqua" w:hAnsi="Book Antiqua" w:cs="Book Antiqua"/>
          <w:b/>
          <w:sz w:val="24"/>
        </w:rPr>
      </w:pPr>
      <w:r>
        <w:rPr>
          <w:rFonts w:cs="Book Antiqua" w:ascii="Book Antiqua" w:hAnsi="Book Antiqua"/>
          <w:b/>
          <w:sz w:val="24"/>
        </w:rPr>
      </w:r>
    </w:p>
    <w:p>
      <w:pPr>
        <w:pStyle w:val="standard"/>
        <w:jc w:val="center"/>
        <w:rPr>
          <w:rFonts w:ascii="Book Antiqua" w:hAnsi="Book Antiqua" w:cs="Book Antiqua"/>
          <w:b/>
          <w:sz w:val="24"/>
          <w:u w:val="single"/>
        </w:rPr>
      </w:pPr>
      <w:r>
        <w:rPr>
          <w:rFonts w:cs="Book Antiqua" w:ascii="Book Antiqua" w:hAnsi="Book Antiqua"/>
          <w:b/>
          <w:sz w:val="24"/>
          <w:u w:val="single"/>
        </w:rPr>
        <w:t>Agenda</w:t>
      </w:r>
    </w:p>
    <w:p>
      <w:pPr>
        <w:pStyle w:val="standard"/>
        <w:rPr>
          <w:rFonts w:ascii="Book Antiqua" w:hAnsi="Book Antiqua" w:cs="Book Antiqua"/>
          <w:b/>
          <w:sz w:val="24"/>
          <w:u w:val="single"/>
        </w:rPr>
      </w:pPr>
      <w:r>
        <w:rPr>
          <w:rFonts w:cs="Book Antiqua" w:ascii="Book Antiqua" w:hAnsi="Book Antiqua"/>
          <w:b/>
          <w:sz w:val="24"/>
          <w:u w:val="single"/>
        </w:rPr>
      </w:r>
    </w:p>
    <w:p>
      <w:pPr>
        <w:pStyle w:val="standard"/>
        <w:numPr>
          <w:ilvl w:val="0"/>
          <w:numId w:val="2"/>
        </w:numPr>
        <w:rPr>
          <w:rFonts w:ascii="Book Antiqua" w:hAnsi="Book Antiqua" w:cs="Book Antiqua"/>
          <w:sz w:val="24"/>
        </w:rPr>
      </w:pPr>
      <w:r>
        <w:rPr>
          <w:rFonts w:cs="Book Antiqua" w:ascii="Book Antiqua" w:hAnsi="Book Antiqua"/>
          <w:b/>
          <w:sz w:val="24"/>
          <w:u w:val="single"/>
        </w:rPr>
        <w:t>Housekeeping</w:t>
      </w:r>
      <w:r>
        <w:rPr>
          <w:rFonts w:cs="Book Antiqua" w:ascii="Book Antiqua" w:hAnsi="Book Antiqua"/>
          <w:sz w:val="24"/>
        </w:rPr>
        <w:br/>
      </w:r>
    </w:p>
    <w:p>
      <w:pPr>
        <w:pStyle w:val="standard"/>
        <w:numPr>
          <w:ilvl w:val="1"/>
          <w:numId w:val="2"/>
        </w:numPr>
        <w:rPr>
          <w:rFonts w:ascii="Book Antiqua" w:hAnsi="Book Antiqua" w:cs="Book Antiqua"/>
          <w:sz w:val="24"/>
        </w:rPr>
      </w:pPr>
      <w:r>
        <w:rPr>
          <w:rFonts w:cs="Book Antiqua" w:ascii="Book Antiqua" w:hAnsi="Book Antiqua"/>
          <w:sz w:val="24"/>
        </w:rPr>
        <w:t>Introductions and Ground Rules</w:t>
        <w:br/>
      </w:r>
    </w:p>
    <w:p>
      <w:pPr>
        <w:pStyle w:val="standard"/>
        <w:numPr>
          <w:ilvl w:val="1"/>
          <w:numId w:val="2"/>
        </w:numPr>
        <w:rPr>
          <w:rFonts w:ascii="Book Antiqua" w:hAnsi="Book Antiqua" w:cs="Book Antiqua"/>
          <w:sz w:val="24"/>
        </w:rPr>
      </w:pPr>
      <w:r>
        <w:rPr>
          <w:rFonts w:eastAsia="Book Antiqua" w:cs="Book Antiqua" w:ascii="Book Antiqua" w:hAnsi="Book Antiqua"/>
          <w:sz w:val="24"/>
        </w:rPr>
        <w:t xml:space="preserve"> </w:t>
      </w:r>
      <w:r>
        <w:rPr>
          <w:rFonts w:cs="Book Antiqua" w:ascii="Book Antiqua" w:hAnsi="Book Antiqua"/>
          <w:sz w:val="24"/>
        </w:rPr>
        <w:t>Goals of this workshop: exchange information and agree to procedures that will allow for the most comprehensive evidentiary record.</w:t>
      </w:r>
    </w:p>
    <w:p>
      <w:pPr>
        <w:pStyle w:val="standard"/>
        <w:ind w:start="1080" w:end="0"/>
        <w:rPr>
          <w:rFonts w:ascii="Book Antiqua" w:hAnsi="Book Antiqua" w:cs="Book Antiqua"/>
          <w:sz w:val="24"/>
        </w:rPr>
      </w:pPr>
      <w:r>
        <w:rPr>
          <w:rFonts w:cs="Book Antiqua" w:ascii="Book Antiqua" w:hAnsi="Book Antiqua"/>
          <w:sz w:val="24"/>
        </w:rPr>
      </w:r>
    </w:p>
    <w:p>
      <w:pPr>
        <w:pStyle w:val="standard"/>
        <w:numPr>
          <w:ilvl w:val="0"/>
          <w:numId w:val="2"/>
        </w:numPr>
        <w:rPr>
          <w:rFonts w:ascii="Book Antiqua" w:hAnsi="Book Antiqua" w:cs="Book Antiqua"/>
          <w:sz w:val="24"/>
        </w:rPr>
      </w:pPr>
      <w:r>
        <w:rPr>
          <w:rFonts w:cs="Book Antiqua" w:ascii="Book Antiqua" w:hAnsi="Book Antiqua"/>
          <w:b/>
          <w:sz w:val="24"/>
          <w:u w:val="single"/>
        </w:rPr>
        <w:t>Agenda Items</w:t>
        <w:br/>
      </w:r>
    </w:p>
    <w:p>
      <w:pPr>
        <w:pStyle w:val="standard"/>
        <w:numPr>
          <w:ilvl w:val="1"/>
          <w:numId w:val="2"/>
        </w:numPr>
        <w:rPr>
          <w:rFonts w:ascii="Book Antiqua" w:hAnsi="Book Antiqua" w:cs="Book Antiqua"/>
          <w:sz w:val="24"/>
        </w:rPr>
      </w:pPr>
      <w:r>
        <w:rPr>
          <w:rFonts w:cs="Book Antiqua" w:ascii="Book Antiqua" w:hAnsi="Book Antiqua"/>
          <w:b/>
          <w:sz w:val="24"/>
        </w:rPr>
        <w:t>Presentation and Discussion of Rate Design Proposals</w:t>
      </w:r>
      <w:r>
        <w:rPr>
          <w:rFonts w:cs="Book Antiqua" w:ascii="Book Antiqua" w:hAnsi="Book Antiqua"/>
          <w:sz w:val="24"/>
        </w:rPr>
        <w:t xml:space="preserve">:   </w:t>
      </w:r>
    </w:p>
    <w:p>
      <w:pPr>
        <w:pStyle w:val="standard"/>
        <w:ind w:end="1080"/>
        <w:rPr>
          <w:rFonts w:ascii="Book Antiqua" w:hAnsi="Book Antiqua" w:cs="Book Antiqua"/>
          <w:b/>
          <w:sz w:val="24"/>
        </w:rPr>
      </w:pPr>
      <w:r>
        <w:rPr>
          <w:rFonts w:cs="Book Antiqua" w:ascii="Book Antiqua" w:hAnsi="Book Antiqua"/>
          <w:b/>
          <w:sz w:val="24"/>
        </w:rPr>
      </w:r>
    </w:p>
    <w:p>
      <w:pPr>
        <w:pStyle w:val="standard"/>
        <w:numPr>
          <w:ilvl w:val="0"/>
          <w:numId w:val="5"/>
        </w:numPr>
        <w:tabs>
          <w:tab w:val="clear" w:pos="720"/>
          <w:tab w:val="left" w:pos="2160" w:leader="none"/>
        </w:tabs>
        <w:ind w:hanging="720" w:start="2160" w:end="1080"/>
        <w:rPr>
          <w:rFonts w:ascii="Book Antiqua" w:hAnsi="Book Antiqua" w:cs="Book Antiqua"/>
          <w:sz w:val="24"/>
        </w:rPr>
      </w:pPr>
      <w:r>
        <w:rPr>
          <w:rFonts w:cs="Book Antiqua" w:ascii="Book Antiqua" w:hAnsi="Book Antiqua"/>
          <w:b/>
          <w:i/>
          <w:sz w:val="24"/>
        </w:rPr>
        <w:t>Agricultural Tariff Definitions</w:t>
      </w:r>
      <w:r>
        <w:rPr>
          <w:rFonts w:cs="Book Antiqua" w:ascii="Book Antiqua" w:hAnsi="Book Antiqua"/>
          <w:sz w:val="24"/>
        </w:rPr>
        <w:t>.</w:t>
      </w:r>
    </w:p>
    <w:p>
      <w:pPr>
        <w:pStyle w:val="standard"/>
        <w:ind w:start="2160" w:end="1080"/>
        <w:rPr/>
      </w:pPr>
      <w:r>
        <w:rPr>
          <w:rFonts w:cs="Book Antiqua" w:ascii="Book Antiqua" w:hAnsi="Book Antiqua"/>
          <w:sz w:val="24"/>
        </w:rPr>
        <w:t>Proponent(s) of changes to the tariff definitions in A.00-11-038 et al. are requested to prepare a detailed proposal and to serve copies on all parties no later than July 13</w:t>
      </w:r>
      <w:r>
        <w:rPr>
          <w:rFonts w:cs="Book Antiqua" w:ascii="Book Antiqua" w:hAnsi="Book Antiqua"/>
          <w:sz w:val="24"/>
          <w:vertAlign w:val="superscript"/>
        </w:rPr>
        <w:t>th</w:t>
      </w:r>
      <w:r>
        <w:rPr>
          <w:rFonts w:cs="Book Antiqua" w:ascii="Book Antiqua" w:hAnsi="Book Antiqua"/>
          <w:sz w:val="24"/>
        </w:rPr>
        <w:t>.  This proposal should include a detailed estimate of the likely impact on rates and revenues because of such changes.  The proposal should also propose a specific ratemaking solution to the likely impact on rates and revenues.  (See D. 01-05-064, Section V. B, Findings of Fact Nos. 36 through 39 and 41, Conclusion of Law No. 8 and Ordering Paragraph 1 (k) &amp; (l).)</w:t>
      </w:r>
    </w:p>
    <w:p>
      <w:pPr>
        <w:pStyle w:val="standard"/>
        <w:numPr>
          <w:ilvl w:val="0"/>
          <w:numId w:val="5"/>
        </w:numPr>
        <w:tabs>
          <w:tab w:val="clear" w:pos="720"/>
          <w:tab w:val="left" w:pos="2160" w:leader="none"/>
        </w:tabs>
        <w:ind w:hanging="720" w:start="2160" w:end="1080"/>
        <w:rPr>
          <w:rFonts w:ascii="Book Antiqua" w:hAnsi="Book Antiqua" w:cs="Book Antiqua"/>
          <w:b/>
          <w:i/>
          <w:i/>
          <w:sz w:val="24"/>
        </w:rPr>
      </w:pPr>
      <w:r>
        <w:rPr>
          <w:rFonts w:cs="Book Antiqua" w:ascii="Book Antiqua" w:hAnsi="Book Antiqua"/>
          <w:b/>
          <w:i/>
          <w:sz w:val="24"/>
        </w:rPr>
        <w:t>Super Peak Rates.</w:t>
      </w:r>
    </w:p>
    <w:p>
      <w:pPr>
        <w:pStyle w:val="standard"/>
        <w:ind w:start="2160" w:end="1080"/>
        <w:rPr/>
      </w:pPr>
      <w:r>
        <w:rPr>
          <w:rFonts w:cs="Book Antiqua" w:ascii="Book Antiqua" w:hAnsi="Book Antiqua"/>
          <w:sz w:val="24"/>
        </w:rPr>
        <w:t>Proponent(s) of Super Peak Rates in A.00-11-038 et al. are requested to prepare a detailed proposal and to serve copies on all parties no later than July 13</w:t>
      </w:r>
      <w:r>
        <w:rPr>
          <w:rFonts w:cs="Book Antiqua" w:ascii="Book Antiqua" w:hAnsi="Book Antiqua"/>
          <w:sz w:val="24"/>
          <w:vertAlign w:val="superscript"/>
        </w:rPr>
        <w:t>th</w:t>
      </w:r>
      <w:r>
        <w:rPr>
          <w:rFonts w:cs="Book Antiqua" w:ascii="Book Antiqua" w:hAnsi="Book Antiqua"/>
          <w:sz w:val="24"/>
        </w:rPr>
        <w:t>.  This proposal should include a detailed estimate of the likely impact on rates and revenues because of such changes.  The proposal should also propose a specific ratemaking solution to the likely impact on rates and revenues.  (See D. 01-05-064, Section VI. D, Findings of Fact No. 36)</w:t>
      </w:r>
    </w:p>
    <w:p>
      <w:pPr>
        <w:pStyle w:val="standard"/>
        <w:numPr>
          <w:ilvl w:val="0"/>
          <w:numId w:val="5"/>
        </w:numPr>
        <w:tabs>
          <w:tab w:val="clear" w:pos="720"/>
          <w:tab w:val="left" w:pos="2160" w:leader="none"/>
        </w:tabs>
        <w:ind w:hanging="720" w:start="2160" w:end="1080"/>
        <w:rPr>
          <w:rFonts w:ascii="Book Antiqua" w:hAnsi="Book Antiqua" w:cs="Book Antiqua"/>
          <w:b/>
          <w:i/>
          <w:i/>
          <w:sz w:val="24"/>
        </w:rPr>
      </w:pPr>
      <w:r>
        <w:rPr>
          <w:rFonts w:cs="Book Antiqua" w:ascii="Book Antiqua" w:hAnsi="Book Antiqua"/>
          <w:b/>
          <w:i/>
          <w:sz w:val="24"/>
        </w:rPr>
        <w:t>Standard Industry Code (SIC) Classifications.</w:t>
      </w:r>
    </w:p>
    <w:p>
      <w:pPr>
        <w:pStyle w:val="standard"/>
        <w:ind w:start="2160" w:end="1080"/>
        <w:rPr/>
      </w:pPr>
      <w:r>
        <w:rPr>
          <w:rFonts w:cs="Book Antiqua" w:ascii="Book Antiqua" w:hAnsi="Book Antiqua"/>
          <w:sz w:val="24"/>
        </w:rPr>
        <w:t>Proponent(s) of Standard Industry Code (SIC) Classifications in A.00-11-038 et al. are requested to prepare a detailed proposal (master data request) and to serve copies on all parties no later than July 13</w:t>
      </w:r>
      <w:r>
        <w:rPr>
          <w:rFonts w:cs="Book Antiqua" w:ascii="Book Antiqua" w:hAnsi="Book Antiqua"/>
          <w:sz w:val="24"/>
          <w:vertAlign w:val="superscript"/>
        </w:rPr>
        <w:t>th</w:t>
      </w:r>
      <w:r>
        <w:rPr>
          <w:rFonts w:cs="Book Antiqua" w:ascii="Book Antiqua" w:hAnsi="Book Antiqua"/>
          <w:sz w:val="24"/>
        </w:rPr>
        <w:t>.  This proposal should include a detailed estimate of the likely impact on rates and revenues because of such changes.  The proposal should also propose a specific ratemaking solution to the likely impact on rates and revenues.   Additionally, proponents should be prepared to discuss appropriate collection methodology and data requirements necessary for the use of SIC Codes in rate design. (See D. 01-05-064, Section VI. A, Finding of Fact No. 31, and Ordering Paragraph No. 3.)</w:t>
      </w:r>
    </w:p>
    <w:p>
      <w:pPr>
        <w:pStyle w:val="standard"/>
        <w:ind w:start="2160" w:end="1080"/>
        <w:rPr>
          <w:rFonts w:ascii="Book Antiqua" w:hAnsi="Book Antiqua" w:cs="Book Antiqua"/>
          <w:sz w:val="24"/>
        </w:rPr>
      </w:pPr>
      <w:r>
        <w:rPr>
          <w:rFonts w:cs="Book Antiqua" w:ascii="Book Antiqua" w:hAnsi="Book Antiqua"/>
          <w:sz w:val="24"/>
        </w:rPr>
      </w:r>
    </w:p>
    <w:p>
      <w:pPr>
        <w:pStyle w:val="standard"/>
        <w:numPr>
          <w:ilvl w:val="0"/>
          <w:numId w:val="3"/>
        </w:numPr>
        <w:tabs>
          <w:tab w:val="clear" w:pos="720"/>
          <w:tab w:val="left" w:pos="8640" w:leader="none"/>
          <w:tab w:val="left" w:pos="9360" w:leader="none"/>
        </w:tabs>
        <w:rPr>
          <w:rFonts w:ascii="Book Antiqua" w:hAnsi="Book Antiqua" w:cs="Book Antiqua"/>
          <w:sz w:val="24"/>
        </w:rPr>
      </w:pPr>
      <w:r>
        <w:rPr>
          <w:rFonts w:cs="Book Antiqua" w:ascii="Book Antiqua" w:hAnsi="Book Antiqua"/>
          <w:b/>
          <w:sz w:val="24"/>
          <w:u w:val="single"/>
        </w:rPr>
        <w:t>Workshop Report</w:t>
      </w:r>
    </w:p>
    <w:p>
      <w:pPr>
        <w:pStyle w:val="standard"/>
        <w:ind w:start="720" w:end="0"/>
        <w:rPr/>
      </w:pPr>
      <w:r>
        <w:rPr>
          <w:rFonts w:cs="Book Antiqua" w:ascii="Book Antiqua" w:hAnsi="Book Antiqua"/>
          <w:sz w:val="24"/>
        </w:rPr>
        <w:t xml:space="preserve">The Energy Division will prepare a draft workshop report and workshop </w:t>
      </w:r>
      <w:r>
        <w:rPr>
          <w:rFonts w:cs="Book Antiqua" w:ascii="Book Antiqua" w:hAnsi="Book Antiqua"/>
          <w:i/>
          <w:sz w:val="24"/>
        </w:rPr>
        <w:t>participants</w:t>
      </w:r>
      <w:r>
        <w:rPr>
          <w:rFonts w:cs="Book Antiqua" w:ascii="Book Antiqua" w:hAnsi="Book Antiqua"/>
          <w:sz w:val="24"/>
        </w:rPr>
        <w:t xml:space="preserve"> will have an opportunity to submit comments.  A final report will be submitted by the Energy Division to the Commission in A.00-11-038 et al.</w:t>
      </w:r>
    </w:p>
    <w:p>
      <w:pPr>
        <w:pStyle w:val="standard"/>
        <w:tabs>
          <w:tab w:val="clear" w:pos="720"/>
          <w:tab w:val="left" w:pos="8640" w:leader="none"/>
          <w:tab w:val="left" w:pos="9360" w:leader="none"/>
        </w:tabs>
        <w:ind w:start="1080" w:end="0"/>
        <w:rPr>
          <w:rFonts w:ascii="Book Antiqua" w:hAnsi="Book Antiqua" w:cs="Book Antiqua"/>
          <w:sz w:val="24"/>
        </w:rPr>
      </w:pPr>
      <w:r>
        <w:rPr>
          <w:rFonts w:cs="Book Antiqua" w:ascii="Book Antiqua" w:hAnsi="Book Antiqua"/>
          <w:sz w:val="24"/>
        </w:rPr>
      </w:r>
    </w:p>
    <w:p>
      <w:pPr>
        <w:pStyle w:val="standard"/>
        <w:tabs>
          <w:tab w:val="clear" w:pos="720"/>
          <w:tab w:val="left" w:pos="8640" w:leader="none"/>
          <w:tab w:val="left" w:pos="9360" w:leader="none"/>
        </w:tabs>
        <w:ind w:start="2160" w:end="1080"/>
        <w:rPr>
          <w:rFonts w:ascii="Book Antiqua" w:hAnsi="Book Antiqua" w:cs="Book Antiqua"/>
          <w:sz w:val="24"/>
        </w:rPr>
      </w:pPr>
      <w:r>
        <w:rPr>
          <w:rFonts w:cs="Book Antiqua" w:ascii="Book Antiqua" w:hAnsi="Book Antiqua"/>
          <w:sz w:val="24"/>
        </w:rPr>
      </w:r>
    </w:p>
    <w:p>
      <w:pPr>
        <w:pStyle w:val="standard"/>
        <w:tabs>
          <w:tab w:val="clear" w:pos="720"/>
          <w:tab w:val="left" w:pos="8640" w:leader="none"/>
          <w:tab w:val="left" w:pos="9360" w:leader="none"/>
        </w:tabs>
        <w:ind w:start="2160" w:end="1080"/>
        <w:rPr>
          <w:rFonts w:ascii="Book Antiqua" w:hAnsi="Book Antiqua" w:cs="Book Antiqua"/>
          <w:sz w:val="24"/>
        </w:rPr>
      </w:pPr>
      <w:r>
        <w:rPr>
          <w:rFonts w:cs="Book Antiqua" w:ascii="Book Antiqua" w:hAnsi="Book Antiqua"/>
          <w:sz w:val="24"/>
        </w:rPr>
      </w:r>
    </w:p>
    <w:sectPr>
      <w:headerReference w:type="default" r:id="rId7"/>
      <w:headerReference w:type="first" r:id="rId8"/>
      <w:footerReference w:type="default" r:id="rId9"/>
      <w:footerReference w:type="first" r:id="rId10"/>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Book Antiqua">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95137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95137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i/>
        <w:i/>
        <w:sz w:val="32"/>
      </w:rPr>
    </w:pPr>
    <w:r>
      <w:rPr>
        <w:b/>
        <w:i/>
        <w:sz w:val="3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i/>
        <w:i/>
        <w:sz w:val="32"/>
      </w:rPr>
    </w:pPr>
    <w:r>
      <w:rPr>
        <w:b/>
        <w:i/>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2"/>
      <w:numFmt w:val="lowerLetter"/>
      <w:lvlText w:val="%1."/>
      <w:lvlJc w:val="start"/>
      <w:pPr>
        <w:tabs>
          <w:tab w:val="num" w:pos="1080"/>
        </w:tabs>
        <w:ind w:start="1080" w:hanging="360"/>
      </w:pPr>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720" w:start="0" w:end="0"/>
      <w:outlineLvl w:val="1"/>
    </w:pPr>
    <w:rPr>
      <w:rFonts w:ascii="Helvetica;Arial" w:hAnsi="Helvetica;Arial" w:cs="Helvetica;Arial"/>
      <w:b/>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paragraph" w:styleId="Heading6">
    <w:name w:val="heading 6"/>
    <w:basedOn w:val="Normal"/>
    <w:next w:val="Normal"/>
    <w:qFormat/>
    <w:pPr>
      <w:keepNext w:val="true"/>
      <w:numPr>
        <w:ilvl w:val="5"/>
        <w:numId w:val="1"/>
      </w:numPr>
      <w:ind w:hanging="0" w:start="360" w:end="0"/>
      <w:jc w:val="center"/>
      <w:outlineLvl w:val="5"/>
    </w:pPr>
    <w:rPr>
      <w:rFonts w:ascii="Helvetica;Arial" w:hAnsi="Helvetica;Arial" w:cs="Helvetica;Arial"/>
      <w:b/>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11z0">
    <w:name w:val="WW8Num11z0"/>
    <w:qFormat/>
    <w:rPr/>
  </w:style>
  <w:style w:type="character" w:styleId="WW8Num15z0">
    <w:name w:val="WW8Num15z0"/>
    <w:qFormat/>
    <w:rPr/>
  </w:style>
  <w:style w:type="character" w:styleId="WW8Num21z0">
    <w:name w:val="WW8Num21z0"/>
    <w:qFormat/>
    <w:rPr/>
  </w:style>
  <w:style w:type="character" w:styleId="WW8Num29z0">
    <w:name w:val="WW8Num29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7"/>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8"/>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DocumentMap">
    <w:name w:val="Document Map"/>
    <w:basedOn w:val="Normal"/>
    <w:qFormat/>
    <w:pPr>
      <w:shd w:fill="000080" w:val="clear"/>
    </w:pPr>
    <w:rPr>
      <w:rFonts w:ascii="Tahoma" w:hAnsi="Tahoma" w:cs="Tahoma"/>
    </w:rPr>
  </w:style>
  <w:style w:type="paragraph" w:styleId="block">
    <w:name w:val="block"/>
    <w:basedOn w:val="standard"/>
    <w:qFormat/>
    <w:pPr>
      <w:spacing w:lineRule="auto" w:line="240" w:before="0" w:after="120"/>
      <w:ind w:hanging="2434" w:start="3154" w:end="720"/>
    </w:pPr>
    <w:rPr/>
  </w:style>
  <w:style w:type="paragraph" w:styleId="bullets">
    <w:name w:val="bullets"/>
    <w:basedOn w:val="Normal"/>
    <w:qFormat/>
    <w:pPr>
      <w:numPr>
        <w:ilvl w:val="0"/>
        <w:numId w:val="6"/>
      </w:numPr>
      <w:spacing w:before="0" w:after="120"/>
    </w:pPr>
    <w:rPr/>
  </w:style>
  <w:style w:type="paragraph" w:styleId="block1">
    <w:name w:val="block1"/>
    <w:basedOn w:val="standard"/>
    <w:qFormat/>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r@cpuc.ca.go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2001-07-06T16:32:00Z</dcterms:created>
  <dc:creator>abw</dc:creator>
  <dc:description/>
  <dc:language>en-CA</dc:language>
  <cp:lastModifiedBy> Douglas Long</cp:lastModifiedBy>
  <cp:lastPrinted>2001-07-03T09:52:00Z</cp:lastPrinted>
  <dcterms:modified xsi:type="dcterms:W3CDTF">2001-07-06T16:32:00Z</dcterms:modified>
  <cp:revision>2</cp:revision>
  <dc:subject/>
  <dc:title>BEFORE THE PUBLIC UTILITIES COMMISSION OF THE STATE OF CALIFORNIA</dc:title>
</cp:coreProperties>
</file>