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60"/>
        <w:rPr>
          <w:caps w:val="false"/>
          <w:smallCaps w:val="false"/>
        </w:rPr>
      </w:pPr>
      <w:r>
        <w:rPr>
          <w:caps w:val="false"/>
          <w:smallCaps w:val="false"/>
        </w:rPr>
        <w:t>THE NEW ELECTRICITY TRADING ARRANGEMENTS</w:t>
      </w:r>
    </w:p>
    <w:p>
      <w:pPr>
        <w:pStyle w:val="Heading"/>
        <w:spacing w:before="120" w:after="60"/>
        <w:rPr>
          <w:caps w:val="false"/>
          <w:smallCaps w:val="false"/>
        </w:rPr>
      </w:pPr>
      <w:r>
        <w:rPr>
          <w:caps w:val="false"/>
          <w:smallCaps w:val="false"/>
        </w:rPr>
        <w:t>A Response by Enron Europe</w:t>
      </w:r>
    </w:p>
    <w:p>
      <w:pPr>
        <w:pStyle w:val="Heading"/>
        <w:spacing w:before="120" w:after="60"/>
        <w:rPr>
          <w:caps w:val="false"/>
          <w:smallCaps w:val="false"/>
        </w:rPr>
      </w:pPr>
      <w:r>
        <w:rPr>
          <w:caps w:val="false"/>
          <w:smallCaps w:val="false"/>
        </w:rPr>
        <w:t>10 September 1999</w:t>
      </w:r>
    </w:p>
    <w:p>
      <w:pPr>
        <w:pStyle w:val="CommentText"/>
        <w:rPr/>
      </w:pPr>
      <w:r>
        <w:rPr/>
      </w:r>
    </w:p>
    <w:p>
      <w:pPr>
        <w:pStyle w:val="Heading"/>
        <w:jc w:val="start"/>
        <w:rPr/>
      </w:pPr>
      <w:r>
        <w:rPr/>
        <w:t>Executive summary</w:t>
      </w:r>
    </w:p>
    <w:p>
      <w:pPr>
        <w:pStyle w:val="Normal"/>
        <w:rPr/>
      </w:pPr>
      <w:r>
        <w:rPr/>
      </w:r>
    </w:p>
    <w:p>
      <w:pPr>
        <w:pStyle w:val="Normal"/>
        <w:rPr/>
      </w:pPr>
      <w:r>
        <w:rPr/>
        <w:t>Enron Europe welcomes the proposed arrangements for New Electricity Trading Arrangements (NETA).  The proposals represent a major step forward for the development of an efficient market in England and Wales and we therefore look forward to the implementation of the new arrangements next autumn.</w:t>
      </w:r>
    </w:p>
    <w:p>
      <w:pPr>
        <w:pStyle w:val="Normal"/>
        <w:rPr/>
      </w:pPr>
      <w:r>
        <w:rPr/>
      </w:r>
    </w:p>
    <w:p>
      <w:pPr>
        <w:pStyle w:val="Normal"/>
        <w:rPr/>
      </w:pPr>
      <w:r>
        <w:rPr/>
        <w:t xml:space="preserve">We fully support the main NETA principle that </w:t>
      </w:r>
      <w:r>
        <w:rPr>
          <w:i/>
        </w:rPr>
        <w:t>“participants should be able to choose how to conduct their business via freely negotiated contracts between willing buyers and sellers with centrally administered mechanisms kept to the minimum consistent with the safe and reliable operation of the system”</w:t>
      </w:r>
      <w:r>
        <w:rPr/>
        <w:t xml:space="preserve">.  In this regard, removing some of the current market restrictions offers many potential benefits.  In particular, bringing the demand side squarely into the market, extending the trading arrangements closer to real time and improved governance arrangements all offer significant gains in efficiency. </w:t>
      </w:r>
    </w:p>
    <w:p>
      <w:pPr>
        <w:pStyle w:val="Normal"/>
        <w:rPr/>
      </w:pPr>
      <w:r>
        <w:rPr/>
      </w:r>
    </w:p>
    <w:p>
      <w:pPr>
        <w:pStyle w:val="Normal"/>
        <w:rPr/>
      </w:pPr>
      <w:r>
        <w:rPr/>
        <w:t>Given this laudable objective and the benefits brought by some of the NETA proposals it is therefore a great shame to see that elements of the NETA settlement proposals deliberately restrict participants’ commercial freedoms thereby preventing even greater gains from being realised.  Moreover, no amount of rhetoric in the consultation paper can obscure the fact that these restrictions are not required for system security reasons, that they are inefficient and that they will lead to higher than necessary prices to consumers.  The following straightforward changes to the NETA proposals would significantly improve their efficiency and produce still further benefits to consumers:</w:t>
      </w:r>
    </w:p>
    <w:p>
      <w:pPr>
        <w:pStyle w:val="Normal"/>
        <w:rPr/>
      </w:pPr>
      <w:r>
        <w:rPr/>
      </w:r>
    </w:p>
    <w:p>
      <w:pPr>
        <w:pStyle w:val="Normal"/>
        <w:numPr>
          <w:ilvl w:val="0"/>
          <w:numId w:val="10"/>
        </w:numPr>
        <w:rPr/>
      </w:pPr>
      <w:r>
        <w:rPr/>
        <w:t>Meter splitting: Participants should have complete freedom to allocate settlement meter reads at individual locations.  Not only does this facilitate effective competition between suppliers to offer different products and serve different portions of customers’ loads, it allows the effective allocation of risks between those taking the output of a power station.</w:t>
      </w:r>
    </w:p>
    <w:p>
      <w:pPr>
        <w:pStyle w:val="Normal"/>
        <w:numPr>
          <w:ilvl w:val="0"/>
          <w:numId w:val="10"/>
        </w:numPr>
        <w:rPr/>
      </w:pPr>
      <w:r>
        <w:rPr/>
        <w:t xml:space="preserve">Aggregation across production and consumption is </w:t>
      </w:r>
      <w:r>
        <w:rPr>
          <w:u w:val="single"/>
        </w:rPr>
        <w:t>essential</w:t>
      </w:r>
      <w:r>
        <w:rPr/>
        <w:t xml:space="preserve"> to ensure efficient risk management for smaller participants on one side of the market.  Without the ability to combine production and consumption accounts the third-party aggregators envisaged by the Programme will not emerge to provide much needed competition with larger vertically integrated portfolio players.</w:t>
      </w:r>
    </w:p>
    <w:p>
      <w:pPr>
        <w:pStyle w:val="Normal"/>
        <w:numPr>
          <w:ilvl w:val="0"/>
          <w:numId w:val="10"/>
        </w:numPr>
        <w:rPr/>
      </w:pPr>
      <w:r>
        <w:rPr/>
        <w:t>Ex post notification of physical volumes gives participants more freedom in managing their imbalances and hence reduces the cost of managing their risks.  Moreover, not only is ex post notification simpler to implement, its flexibility makes the realignment of present contracts much more straightforward.  At the very least the programme should allow real-time notification of contractual volumes and not restrict notification to gate closure.</w:t>
      </w:r>
    </w:p>
    <w:p>
      <w:pPr>
        <w:pStyle w:val="Normal"/>
        <w:rPr/>
      </w:pPr>
      <w:r>
        <w:rPr/>
      </w:r>
    </w:p>
    <w:p>
      <w:pPr>
        <w:pStyle w:val="Normal"/>
        <w:rPr/>
      </w:pPr>
      <w:r>
        <w:rPr/>
        <w:t xml:space="preserve">Adopting these proposals is entirely in line with the stated NETA objectives of minimising restrictions on market participants’ commercial freedom to promote market liquidity, innovation, efficiency and ultimately to reduce prices to consumers. Overall, we find it difficult to comprehend OFGEM/DTI’s view that restricting the commercial freedom of non-dominant participants somehow improves their lot in life.  Giving the whole class detention because one or two members are misbehaving is not just unfair; it is unlikely to foster orderly behaviour.  Moreover, while some of their proposals stem from perfectly justified concerns about market power, trying to control market dominance or structure through trading rules creates more problems and distortions than it solves.  Our main response develops this theme further and demonstrates the serious negative effects of the proposals while at the same time </w:t>
      </w:r>
      <w:r>
        <w:rPr>
          <w:u w:val="single"/>
        </w:rPr>
        <w:t>proving</w:t>
      </w:r>
      <w:r>
        <w:rPr/>
        <w:t xml:space="preserve"> that all of the arguments put forward in favour of these restrictions are completely unsustainable.</w:t>
      </w:r>
    </w:p>
    <w:p>
      <w:pPr>
        <w:pStyle w:val="Normal"/>
        <w:rPr/>
      </w:pPr>
      <w:r>
        <w:rPr/>
      </w:r>
    </w:p>
    <w:p>
      <w:pPr>
        <w:pStyle w:val="Normal"/>
        <w:rPr/>
      </w:pPr>
      <w:r>
        <w:rPr/>
        <w:t>In addition to the unwarranted restrictions on participants’ commercial freedom, we believe that the following proposals should also be adopted:</w:t>
      </w:r>
    </w:p>
    <w:p>
      <w:pPr>
        <w:pStyle w:val="Normal"/>
        <w:rPr/>
      </w:pPr>
      <w:r>
        <w:rPr/>
      </w:r>
    </w:p>
    <w:p>
      <w:pPr>
        <w:pStyle w:val="Normal"/>
        <w:numPr>
          <w:ilvl w:val="0"/>
          <w:numId w:val="3"/>
        </w:numPr>
        <w:rPr/>
      </w:pPr>
      <w:r>
        <w:rPr/>
        <w:t>A single cash-out price based on the weighted average of bids and offers accepted in the balancing mechanism (as originally proposed in the Programme).</w:t>
      </w:r>
    </w:p>
    <w:p>
      <w:pPr>
        <w:pStyle w:val="Normal"/>
        <w:numPr>
          <w:ilvl w:val="0"/>
          <w:numId w:val="3"/>
        </w:numPr>
        <w:rPr/>
      </w:pPr>
      <w:r>
        <w:rPr/>
        <w:t>The programme should ensure that there are no legal or practical barriers to the participation of aggregators in the market as agents of BSC signatories.  Agency roles – including aggregation - are a feature of the current market arrangements and it is our view that their continuance under NETA need not threaten the performance of BSC obligations.</w:t>
      </w:r>
    </w:p>
    <w:p>
      <w:pPr>
        <w:pStyle w:val="Normal"/>
        <w:numPr>
          <w:ilvl w:val="0"/>
          <w:numId w:val="3"/>
        </w:numPr>
        <w:rPr/>
      </w:pPr>
      <w:r>
        <w:rPr/>
        <w:t xml:space="preserve">NGC should </w:t>
      </w:r>
      <w:r>
        <w:rPr>
          <w:u w:val="single"/>
        </w:rPr>
        <w:t>not</w:t>
      </w:r>
      <w:r>
        <w:rPr/>
        <w:t xml:space="preserve"> procure option contracts on MWh prior to gate closure given that this is likely to undermine the liquidity and efficiency of the forward energy market.</w:t>
      </w:r>
    </w:p>
    <w:p>
      <w:pPr>
        <w:pStyle w:val="Normal"/>
        <w:numPr>
          <w:ilvl w:val="0"/>
          <w:numId w:val="3"/>
        </w:numPr>
        <w:rPr/>
      </w:pPr>
      <w:r>
        <w:rPr/>
        <w:t xml:space="preserve">The BSC panel should be a representative industry panel, but the decisions of the Panel and Regulator should be subject to tightly specified objectives, procedures and timescales to ensure that all market participants have access to a transparent and fair decision-making framework. </w:t>
      </w:r>
    </w:p>
    <w:p>
      <w:pPr>
        <w:pStyle w:val="Normal"/>
        <w:numPr>
          <w:ilvl w:val="0"/>
          <w:numId w:val="3"/>
        </w:numPr>
        <w:rPr/>
      </w:pPr>
      <w:r>
        <w:rPr/>
        <w:t>The proposed credit cover arrangements are wholly inappropriate and should be replaced with proposals that link credit cover to a reasonable measure of a participant’s ongoing exposure to cash-out.</w:t>
      </w:r>
    </w:p>
    <w:p>
      <w:pPr>
        <w:sectPr>
          <w:headerReference w:type="default" r:id="rId2"/>
          <w:footerReference w:type="default" r:id="rId3"/>
          <w:type w:val="nextPage"/>
          <w:pgSz w:w="11906" w:h="16838"/>
          <w:pgMar w:left="1134" w:right="1134" w:gutter="0" w:header="624" w:top="907" w:footer="624" w:bottom="1134"/>
          <w:pgNumType w:fmt="lowerRoman"/>
          <w:formProt w:val="false"/>
          <w:textDirection w:val="lrTb"/>
          <w:docGrid w:type="default" w:linePitch="360" w:charSpace="0"/>
        </w:sectPr>
        <w:pStyle w:val="Normal"/>
        <w:rPr/>
      </w:pPr>
      <w:r>
        <w:rPr/>
      </w:r>
    </w:p>
    <w:p>
      <w:pPr>
        <w:pStyle w:val="Heading"/>
        <w:rPr/>
      </w:pPr>
      <w:r>
        <w:rPr/>
        <w:t>THE NEW ELECTRICITY TRADING ARRANGEMENTS</w:t>
      </w:r>
    </w:p>
    <w:p>
      <w:pPr>
        <w:pStyle w:val="Heading"/>
        <w:spacing w:before="120" w:after="60"/>
        <w:rPr>
          <w:caps w:val="false"/>
          <w:smallCaps w:val="false"/>
        </w:rPr>
      </w:pPr>
      <w:r>
        <w:rPr>
          <w:caps w:val="false"/>
          <w:smallCaps w:val="false"/>
        </w:rPr>
        <w:t>A Response by Enron Europe</w:t>
      </w:r>
    </w:p>
    <w:p>
      <w:pPr>
        <w:pStyle w:val="Heading"/>
        <w:spacing w:before="120" w:after="60"/>
        <w:rPr>
          <w:caps w:val="false"/>
          <w:smallCaps w:val="false"/>
        </w:rPr>
      </w:pPr>
      <w:r>
        <w:rPr>
          <w:caps w:val="false"/>
          <w:smallCaps w:val="false"/>
        </w:rPr>
        <w:t>10 September 1999</w:t>
      </w:r>
    </w:p>
    <w:p>
      <w:pPr>
        <w:pStyle w:val="CommentText"/>
        <w:rPr/>
      </w:pPr>
      <w:r>
        <w:rPr/>
      </w:r>
    </w:p>
    <w:p>
      <w:pPr>
        <w:pStyle w:val="Heading1"/>
        <w:ind w:hanging="0" w:start="0"/>
        <w:rPr>
          <w:caps/>
        </w:rPr>
      </w:pPr>
      <w:r>
        <w:rPr/>
        <w:t>Introduction</w:t>
      </w:r>
    </w:p>
    <w:p>
      <w:pPr>
        <w:pStyle w:val="CommentText"/>
        <w:rPr>
          <w:caps/>
        </w:rPr>
      </w:pPr>
      <w:r>
        <w:rPr>
          <w:caps/>
        </w:rPr>
      </w:r>
    </w:p>
    <w:p>
      <w:pPr>
        <w:pStyle w:val="CommentText"/>
        <w:rPr/>
      </w:pPr>
      <w:r>
        <w:rPr/>
        <w:t>Enron Europe welcomes the proposed arrangements for New Electricity Trading Arrangements (NETA).  The proposals represent a major step forward for the development of an efficient market in England and Wales and we therefore look forward to the implementation of the new arrangements next autumn. This paper presents Enron’s views on the current NETA proposals.</w:t>
      </w:r>
    </w:p>
    <w:p>
      <w:pPr>
        <w:pStyle w:val="CommentText"/>
        <w:rPr/>
      </w:pPr>
      <w:r>
        <w:rPr/>
      </w:r>
    </w:p>
    <w:p>
      <w:pPr>
        <w:pStyle w:val="CommentText"/>
        <w:rPr/>
      </w:pPr>
      <w:r>
        <w:rPr/>
        <w:t>One of the main stated NETA principles is that “</w:t>
      </w:r>
      <w:r>
        <w:rPr>
          <w:i/>
        </w:rPr>
        <w:t xml:space="preserve">participants should be able to choose how to conduct their business via freely negotiated contracts between willing buyers and sellers with centrally administered mechanisms kept to the minimum consistent with safe and reliable operation of the system”. </w:t>
      </w:r>
      <w:r>
        <w:rPr/>
        <w:t xml:space="preserve">  The NETA proposals – in removing some of the current market restrictions – therefore bring many potential benefits.  In particular, bringing the demand side squarely into the market, extending the trading arrangements closer to real time and improved governance arrangements all offer significant gains in efficiency.</w:t>
      </w:r>
    </w:p>
    <w:p>
      <w:pPr>
        <w:pStyle w:val="CommentText"/>
        <w:rPr/>
      </w:pPr>
      <w:r>
        <w:rPr/>
      </w:r>
    </w:p>
    <w:p>
      <w:pPr>
        <w:pStyle w:val="CommentText"/>
        <w:rPr/>
      </w:pPr>
      <w:r>
        <w:rPr/>
        <w:t>However, other aspects of the NETA proposals seek deliberately to restrict participant’s commercial freedoms thereby reducing the efficiency gains brought by NETA.  In particular, the restrictions on contract notification, aggregation and the splitting of meters all unduly restrict a market participant’s ability to manage their risks.  Moreover, these restrictions are not required for system security, they are inefficient and they will lead to higher than necessary prices to consumers.  On the other side, the positive arguments put forward for these restrictions are at best highly speculative and at worst completely misguided.  These restrictions are unfortunately likely to undermine many of the other benefits offered by NETA.  We present our concerns about these proposals and the arguments for more flexible and efficient arrangements in section 2 below.</w:t>
      </w:r>
    </w:p>
    <w:p>
      <w:pPr>
        <w:pStyle w:val="CommentText"/>
        <w:rPr/>
      </w:pPr>
      <w:r>
        <w:rPr/>
      </w:r>
    </w:p>
    <w:p>
      <w:pPr>
        <w:pStyle w:val="CommentText"/>
        <w:rPr/>
      </w:pPr>
      <w:r>
        <w:rPr/>
        <w:t>In section 3, we present some general comments on other aspects of the NETA proposals and in so doing cover many of the specific requests for views detailed in Chapters 5, 6, 7, 9 &amp; 10 of the Consultation Paper’s first volume.  We are also currently reviewing the balancing market specification Version 1.2 and will feed back our detailed comments on the specification to the Programme Director’s office in due course.</w:t>
      </w:r>
    </w:p>
    <w:p>
      <w:pPr>
        <w:pStyle w:val="CommentText"/>
        <w:rPr/>
      </w:pPr>
      <w:r>
        <w:rPr/>
      </w:r>
    </w:p>
    <w:p>
      <w:pPr>
        <w:pStyle w:val="Heading1"/>
        <w:ind w:hanging="0" w:start="0"/>
        <w:rPr/>
      </w:pPr>
      <w:r>
        <w:rPr/>
        <w:t>The NETA proposals unduly restrict competition</w:t>
      </w:r>
    </w:p>
    <w:p>
      <w:pPr>
        <w:pStyle w:val="CommentText"/>
        <w:rPr/>
      </w:pPr>
      <w:r>
        <w:rPr/>
      </w:r>
    </w:p>
    <w:p>
      <w:pPr>
        <w:pStyle w:val="CommentText"/>
        <w:rPr/>
      </w:pPr>
      <w:r>
        <w:rPr/>
        <w:t>In this section, we focus on the arguments advanced by DTI/OFGEM for the undue restrictions on aggregation, contract notification and meter splitting.  We conclude that not a single one of the arguments put forward for these restrictions can be sustained while the negative effects are clear.  We would therefore urge OFGEM/DTI to remove the restrictions.</w:t>
      </w:r>
    </w:p>
    <w:p>
      <w:pPr>
        <w:pStyle w:val="Heading2"/>
        <w:ind w:hanging="0" w:start="0"/>
        <w:jc w:val="start"/>
        <w:rPr/>
      </w:pPr>
      <w:r>
        <w:rPr/>
        <w:t>Aggregation between production and consumption should be permitted</w:t>
      </w:r>
    </w:p>
    <w:p>
      <w:pPr>
        <w:pStyle w:val="Normal"/>
        <w:rPr/>
      </w:pPr>
      <w:r>
        <w:rPr/>
      </w:r>
    </w:p>
    <w:p>
      <w:pPr>
        <w:pStyle w:val="CommentText"/>
        <w:rPr/>
      </w:pPr>
      <w:r>
        <w:rPr/>
        <w:t>As the largest electricity trader in the world, we would naturally welcome proposals that promote trading and increase the number of potential counterparties.  It is therefore with some regret that we cannot agree that “splitting generation and consumption imbalances will enhance the role of traders in the market”.  As we demonstrate below, no additional trades – with traders or otherwise – will take place as a result of the aggregation rules.  For similar reasons, we also cannot agree that “netting off production and consumption imbalances would disadvantage participants who were only on one side of the market relative to those on both sides and hence would reduce the range of entrant types”.</w:t>
      </w:r>
      <w:r>
        <w:rPr>
          <w:rStyle w:val="FootnoteCharacters"/>
          <w:rStyle w:val="FootnoteReference"/>
        </w:rPr>
        <w:footnoteReference w:id="2"/>
      </w:r>
      <w:r>
        <w:rPr/>
        <w:t xml:space="preserve">  The following sections explain why these claims are false, explore implied concerns about vertical integration and finally draw some conclusions as to why aggregation across production and consumption accounts </w:t>
      </w:r>
      <w:r>
        <w:rPr>
          <w:u w:val="single"/>
        </w:rPr>
        <w:t>must</w:t>
      </w:r>
      <w:r>
        <w:rPr/>
        <w:t xml:space="preserve"> be allowed.</w:t>
      </w:r>
    </w:p>
    <w:p>
      <w:pPr>
        <w:pStyle w:val="Normal"/>
        <w:rPr/>
      </w:pPr>
      <w:r>
        <w:rPr/>
      </w:r>
    </w:p>
    <w:p>
      <w:pPr>
        <w:pStyle w:val="Heading3"/>
        <w:ind w:hanging="0" w:start="0"/>
        <w:rPr/>
      </w:pPr>
      <w:r>
        <w:rPr/>
        <w:t>No additional trades will result from the aggregation rule</w:t>
      </w:r>
    </w:p>
    <w:p>
      <w:pPr>
        <w:pStyle w:val="CommentText"/>
        <w:rPr>
          <w:b/>
        </w:rPr>
      </w:pPr>
      <w:r>
        <w:rPr>
          <w:b/>
        </w:rPr>
      </w:r>
    </w:p>
    <w:p>
      <w:pPr>
        <w:pStyle w:val="CommentText"/>
        <w:rPr/>
      </w:pPr>
      <w:r>
        <w:rPr/>
        <w:t xml:space="preserve">Traders fall into two broad camps: those whose trading is done ahead of delivery and trader/aggregators who take real-time physical risks on behalf of third parties in addition to trading forward.  The next section addresses the question of trader/aggregators and explains why the proposed market aggregation rules are so damaging to small “one-sided” market participants (ie, those on only one side of the market).  In this section, </w:t>
      </w:r>
      <w:r>
        <w:rPr>
          <w:u w:val="single"/>
        </w:rPr>
        <w:t>we demonstrate that not a single additional trade will take place as a result of the aggregation rules</w:t>
      </w:r>
      <w:r>
        <w:rPr/>
        <w:t>.</w:t>
      </w:r>
    </w:p>
    <w:p>
      <w:pPr>
        <w:pStyle w:val="CommentText"/>
        <w:rPr/>
      </w:pPr>
      <w:r>
        <w:rPr/>
      </w:r>
    </w:p>
    <w:p>
      <w:pPr>
        <w:pStyle w:val="CommentText"/>
        <w:rPr/>
      </w:pPr>
      <w:r>
        <w:rPr/>
        <w:t xml:space="preserve">The table below describes </w:t>
      </w:r>
      <w:r>
        <w:rPr>
          <w:u w:val="single"/>
        </w:rPr>
        <w:t>all</w:t>
      </w:r>
      <w:r>
        <w:rPr/>
        <w:t xml:space="preserve"> a market participant’s possible circumstances and actions in two alternative worlds: one with aggregation across production and consumption and one without. The table shows that the </w:t>
      </w:r>
      <w:r>
        <w:rPr>
          <w:u w:val="single"/>
        </w:rPr>
        <w:t>only</w:t>
      </w:r>
      <w:r>
        <w:rPr/>
        <w:t xml:space="preserve"> effects that the aggregation restriction has is to require a participant to notify a “contract” with itself prior to gate closure and to get penalised twice for offsetting imbalances (which by definition have no system or trading impact).</w:t>
      </w:r>
    </w:p>
    <w:p>
      <w:pPr>
        <w:pStyle w:val="CommentText"/>
        <w:rPr/>
      </w:pPr>
      <w:r>
        <w:rPr/>
      </w:r>
    </w:p>
    <w:p>
      <w:pPr>
        <w:pStyle w:val="CommentText"/>
        <w:rPr/>
      </w:pPr>
      <w:r>
        <w:rPr/>
      </w:r>
      <w:r>
        <w:br w:type="page"/>
      </w:r>
    </w:p>
    <w:tbl>
      <w:tblPr>
        <w:tblW w:w="9300" w:type="dxa"/>
        <w:jc w:val="start"/>
        <w:tblInd w:w="0" w:type="dxa"/>
        <w:tblLayout w:type="fixed"/>
        <w:tblCellMar>
          <w:top w:w="0" w:type="dxa"/>
          <w:start w:w="108" w:type="dxa"/>
          <w:bottom w:w="0" w:type="dxa"/>
          <w:end w:w="108" w:type="dxa"/>
        </w:tblCellMar>
      </w:tblPr>
      <w:tblGrid>
        <w:gridCol w:w="3168"/>
        <w:gridCol w:w="2880"/>
        <w:gridCol w:w="180"/>
        <w:gridCol w:w="3072"/>
      </w:tblGrid>
      <w:tr>
        <w:trPr/>
        <w:tc>
          <w:tcPr>
            <w:tcW w:w="3168" w:type="dxa"/>
            <w:tcBorders>
              <w:bottom w:val="single" w:sz="4" w:space="0" w:color="000000"/>
            </w:tcBorders>
          </w:tcPr>
          <w:p>
            <w:pPr>
              <w:pStyle w:val="Header"/>
              <w:keepLines/>
              <w:pageBreakBefore/>
              <w:tabs>
                <w:tab w:val="clear" w:pos="4153"/>
                <w:tab w:val="clear" w:pos="8306"/>
              </w:tabs>
              <w:snapToGrid w:val="false"/>
              <w:spacing w:lineRule="auto" w:line="264"/>
              <w:rPr/>
            </w:pPr>
            <w:r>
              <w:rPr/>
            </w:r>
          </w:p>
        </w:tc>
        <w:tc>
          <w:tcPr>
            <w:tcW w:w="2880" w:type="dxa"/>
            <w:tcBorders>
              <w:bottom w:val="single" w:sz="4" w:space="0" w:color="000000"/>
            </w:tcBorders>
          </w:tcPr>
          <w:p>
            <w:pPr>
              <w:pStyle w:val="Normal"/>
              <w:keepLines/>
              <w:rPr>
                <w:b/>
              </w:rPr>
            </w:pPr>
            <w:r>
              <w:rPr>
                <w:b/>
              </w:rPr>
              <w:t>Action with aggregation</w:t>
            </w:r>
          </w:p>
          <w:p>
            <w:pPr>
              <w:pStyle w:val="Normal"/>
              <w:keepLines/>
              <w:rPr>
                <w:b/>
              </w:rPr>
            </w:pPr>
            <w:r>
              <w:rPr>
                <w:b/>
              </w:rPr>
            </w:r>
          </w:p>
        </w:tc>
        <w:tc>
          <w:tcPr>
            <w:tcW w:w="3252" w:type="dxa"/>
            <w:gridSpan w:val="2"/>
            <w:tcBorders>
              <w:bottom w:val="single" w:sz="4" w:space="0" w:color="000000"/>
            </w:tcBorders>
          </w:tcPr>
          <w:p>
            <w:pPr>
              <w:pStyle w:val="Normal"/>
              <w:keepLines/>
              <w:rPr>
                <w:b/>
              </w:rPr>
            </w:pPr>
            <w:r>
              <w:rPr>
                <w:b/>
              </w:rPr>
              <w:t>Action without aggregation</w:t>
            </w:r>
          </w:p>
        </w:tc>
      </w:tr>
      <w:tr>
        <w:trPr>
          <w:trHeight w:val="397" w:hRule="atLeast"/>
        </w:trPr>
        <w:tc>
          <w:tcPr>
            <w:tcW w:w="3168" w:type="dxa"/>
            <w:tcBorders/>
          </w:tcPr>
          <w:p>
            <w:pPr>
              <w:pStyle w:val="Normal"/>
              <w:keepLines/>
              <w:jc w:val="start"/>
              <w:rPr>
                <w:b/>
              </w:rPr>
            </w:pPr>
            <w:r>
              <w:rPr>
                <w:b/>
              </w:rPr>
              <w:t>Before gate closure</w:t>
            </w:r>
          </w:p>
        </w:tc>
        <w:tc>
          <w:tcPr>
            <w:tcW w:w="2880" w:type="dxa"/>
            <w:tcBorders/>
          </w:tcPr>
          <w:p>
            <w:pPr>
              <w:pStyle w:val="Normal"/>
              <w:keepLines/>
              <w:snapToGrid w:val="false"/>
              <w:rPr/>
            </w:pPr>
            <w:r>
              <w:rPr/>
            </w:r>
          </w:p>
        </w:tc>
        <w:tc>
          <w:tcPr>
            <w:tcW w:w="3252" w:type="dxa"/>
            <w:gridSpan w:val="2"/>
            <w:tcBorders/>
          </w:tcPr>
          <w:p>
            <w:pPr>
              <w:pStyle w:val="Normal"/>
              <w:keepLines/>
              <w:snapToGrid w:val="false"/>
              <w:rPr/>
            </w:pPr>
            <w:r>
              <w:rPr/>
            </w:r>
          </w:p>
        </w:tc>
      </w:tr>
      <w:tr>
        <w:trPr/>
        <w:tc>
          <w:tcPr>
            <w:tcW w:w="3168" w:type="dxa"/>
            <w:tcBorders/>
          </w:tcPr>
          <w:p>
            <w:pPr>
              <w:pStyle w:val="Normal"/>
              <w:keepLines/>
              <w:jc w:val="start"/>
              <w:rPr/>
            </w:pPr>
            <w:r>
              <w:rPr/>
              <w:t>Expected net short position</w:t>
            </w:r>
          </w:p>
          <w:p>
            <w:pPr>
              <w:pStyle w:val="Normal"/>
              <w:keepLines/>
              <w:jc w:val="start"/>
              <w:rPr/>
            </w:pPr>
            <w:r>
              <w:rPr/>
            </w:r>
          </w:p>
        </w:tc>
        <w:tc>
          <w:tcPr>
            <w:tcW w:w="6132" w:type="dxa"/>
            <w:gridSpan w:val="3"/>
            <w:tcBorders/>
          </w:tcPr>
          <w:p>
            <w:pPr>
              <w:pStyle w:val="Normal"/>
              <w:keepLines/>
              <w:jc w:val="center"/>
              <w:rPr/>
            </w:pPr>
            <w:r>
              <w:rPr/>
              <w:t>Buy in forward market</w:t>
            </w:r>
          </w:p>
          <w:p>
            <w:pPr>
              <w:pStyle w:val="Normal"/>
              <w:keepLines/>
              <w:rPr/>
            </w:pPr>
            <w:r>
              <w:rPr/>
            </w:r>
          </w:p>
        </w:tc>
      </w:tr>
      <w:tr>
        <w:trPr/>
        <w:tc>
          <w:tcPr>
            <w:tcW w:w="3168" w:type="dxa"/>
            <w:tcBorders/>
          </w:tcPr>
          <w:p>
            <w:pPr>
              <w:pStyle w:val="Normal"/>
              <w:keepLines/>
              <w:jc w:val="start"/>
              <w:rPr/>
            </w:pPr>
            <w:r>
              <w:rPr/>
              <w:t>Expected net long position</w:t>
            </w:r>
          </w:p>
          <w:p>
            <w:pPr>
              <w:pStyle w:val="Normal"/>
              <w:keepLines/>
              <w:jc w:val="start"/>
              <w:rPr/>
            </w:pPr>
            <w:r>
              <w:rPr/>
            </w:r>
          </w:p>
        </w:tc>
        <w:tc>
          <w:tcPr>
            <w:tcW w:w="6132" w:type="dxa"/>
            <w:gridSpan w:val="3"/>
            <w:tcBorders/>
          </w:tcPr>
          <w:p>
            <w:pPr>
              <w:pStyle w:val="CommentText"/>
              <w:keepLines/>
              <w:spacing w:lineRule="auto" w:line="264"/>
              <w:jc w:val="center"/>
              <w:rPr/>
            </w:pPr>
            <w:r>
              <w:rPr/>
              <w:t>Sell in forward market</w:t>
            </w:r>
          </w:p>
          <w:p>
            <w:pPr>
              <w:pStyle w:val="Normal"/>
              <w:keepLines/>
              <w:jc w:val="center"/>
              <w:rPr/>
            </w:pPr>
            <w:r>
              <w:rPr/>
            </w:r>
          </w:p>
        </w:tc>
      </w:tr>
      <w:tr>
        <w:trPr/>
        <w:tc>
          <w:tcPr>
            <w:tcW w:w="3168" w:type="dxa"/>
            <w:vMerge w:val="restart"/>
            <w:tcBorders/>
          </w:tcPr>
          <w:p>
            <w:pPr>
              <w:pStyle w:val="Normal"/>
              <w:keepLines/>
              <w:jc w:val="start"/>
              <w:rPr/>
            </w:pPr>
            <w:r>
              <w:rPr/>
              <w:t>Expected offsetting positions on production and consumption accounts</w:t>
            </w:r>
          </w:p>
        </w:tc>
        <w:tc>
          <w:tcPr>
            <w:tcW w:w="6132" w:type="dxa"/>
            <w:gridSpan w:val="3"/>
            <w:tcBorders/>
          </w:tcPr>
          <w:p>
            <w:pPr>
              <w:pStyle w:val="Normal"/>
              <w:keepLines/>
              <w:jc w:val="center"/>
              <w:rPr/>
            </w:pPr>
            <w:r>
              <w:rPr/>
              <w:t>No trade</w:t>
            </w:r>
          </w:p>
        </w:tc>
      </w:tr>
      <w:tr>
        <w:trPr/>
        <w:tc>
          <w:tcPr>
            <w:tcW w:w="3168" w:type="dxa"/>
            <w:vMerge w:val="continue"/>
            <w:tcBorders/>
          </w:tcPr>
          <w:p>
            <w:pPr>
              <w:pStyle w:val="Normal"/>
              <w:keepLines/>
              <w:snapToGrid w:val="false"/>
              <w:jc w:val="start"/>
              <w:rPr>
                <w:b/>
              </w:rPr>
            </w:pPr>
            <w:r>
              <w:rPr>
                <w:b/>
              </w:rPr>
            </w:r>
          </w:p>
        </w:tc>
        <w:tc>
          <w:tcPr>
            <w:tcW w:w="3060" w:type="dxa"/>
            <w:gridSpan w:val="2"/>
            <w:tcBorders/>
          </w:tcPr>
          <w:p>
            <w:pPr>
              <w:pStyle w:val="Normal"/>
              <w:keepLines/>
              <w:rPr/>
            </w:pPr>
            <w:r>
              <w:rPr/>
              <w:t>No action</w:t>
            </w:r>
          </w:p>
        </w:tc>
        <w:tc>
          <w:tcPr>
            <w:tcW w:w="3072" w:type="dxa"/>
            <w:tcBorders/>
          </w:tcPr>
          <w:p>
            <w:pPr>
              <w:pStyle w:val="Normal"/>
              <w:keepLines/>
              <w:rPr/>
            </w:pPr>
            <w:r>
              <w:rPr/>
              <w:t>Notify “contract” between production and consumption accounts</w:t>
            </w:r>
          </w:p>
          <w:p>
            <w:pPr>
              <w:pStyle w:val="Normal"/>
              <w:keepLines/>
              <w:rPr/>
            </w:pPr>
            <w:r>
              <w:rPr/>
            </w:r>
          </w:p>
        </w:tc>
      </w:tr>
      <w:tr>
        <w:trPr/>
        <w:tc>
          <w:tcPr>
            <w:tcW w:w="3168" w:type="dxa"/>
            <w:tcBorders/>
          </w:tcPr>
          <w:p>
            <w:pPr>
              <w:pStyle w:val="Normal"/>
              <w:keepLines/>
              <w:jc w:val="start"/>
              <w:rPr>
                <w:b/>
              </w:rPr>
            </w:pPr>
            <w:r>
              <w:rPr>
                <w:b/>
              </w:rPr>
              <w:t>After gate closure</w:t>
            </w:r>
          </w:p>
        </w:tc>
        <w:tc>
          <w:tcPr>
            <w:tcW w:w="3060" w:type="dxa"/>
            <w:gridSpan w:val="2"/>
            <w:tcBorders/>
          </w:tcPr>
          <w:p>
            <w:pPr>
              <w:pStyle w:val="Normal"/>
              <w:keepLines/>
              <w:snapToGrid w:val="false"/>
              <w:rPr/>
            </w:pPr>
            <w:r>
              <w:rPr/>
            </w:r>
          </w:p>
        </w:tc>
        <w:tc>
          <w:tcPr>
            <w:tcW w:w="3072" w:type="dxa"/>
            <w:tcBorders/>
          </w:tcPr>
          <w:p>
            <w:pPr>
              <w:pStyle w:val="Normal"/>
              <w:keepLines/>
              <w:snapToGrid w:val="false"/>
              <w:rPr/>
            </w:pPr>
            <w:r>
              <w:rPr/>
            </w:r>
          </w:p>
        </w:tc>
      </w:tr>
      <w:tr>
        <w:trPr/>
        <w:tc>
          <w:tcPr>
            <w:tcW w:w="3168" w:type="dxa"/>
            <w:tcBorders/>
          </w:tcPr>
          <w:p>
            <w:pPr>
              <w:pStyle w:val="Normal"/>
              <w:keepLines/>
              <w:jc w:val="start"/>
              <w:rPr/>
            </w:pPr>
            <w:r>
              <w:rPr>
                <w:rFonts w:eastAsia="Book Antiqua"/>
              </w:rPr>
              <w:t xml:space="preserve">  </w:t>
            </w:r>
            <w:r>
              <w:rPr/>
              <w:t>Positive imbalance</w:t>
            </w:r>
          </w:p>
          <w:p>
            <w:pPr>
              <w:pStyle w:val="Normal"/>
              <w:keepLines/>
              <w:jc w:val="start"/>
              <w:rPr/>
            </w:pPr>
            <w:r>
              <w:rPr/>
            </w:r>
          </w:p>
        </w:tc>
        <w:tc>
          <w:tcPr>
            <w:tcW w:w="6132" w:type="dxa"/>
            <w:gridSpan w:val="3"/>
            <w:tcBorders/>
          </w:tcPr>
          <w:p>
            <w:pPr>
              <w:pStyle w:val="Normal"/>
              <w:keepLines/>
              <w:jc w:val="center"/>
              <w:rPr/>
            </w:pPr>
            <w:r>
              <w:rPr/>
              <w:t>Cashed out at SSP</w:t>
            </w:r>
          </w:p>
          <w:p>
            <w:pPr>
              <w:pStyle w:val="Normal"/>
              <w:keepLines/>
              <w:jc w:val="center"/>
              <w:rPr/>
            </w:pPr>
            <w:r>
              <w:rPr/>
            </w:r>
          </w:p>
        </w:tc>
      </w:tr>
      <w:tr>
        <w:trPr/>
        <w:tc>
          <w:tcPr>
            <w:tcW w:w="3168" w:type="dxa"/>
            <w:tcBorders/>
          </w:tcPr>
          <w:p>
            <w:pPr>
              <w:pStyle w:val="Normal"/>
              <w:keepLines/>
              <w:jc w:val="start"/>
              <w:rPr/>
            </w:pPr>
            <w:r>
              <w:rPr>
                <w:rFonts w:eastAsia="Book Antiqua"/>
              </w:rPr>
              <w:t xml:space="preserve">  </w:t>
            </w:r>
            <w:r>
              <w:rPr/>
              <w:t>Negative imbalance</w:t>
            </w:r>
          </w:p>
        </w:tc>
        <w:tc>
          <w:tcPr>
            <w:tcW w:w="6132" w:type="dxa"/>
            <w:gridSpan w:val="3"/>
            <w:tcBorders/>
          </w:tcPr>
          <w:p>
            <w:pPr>
              <w:pStyle w:val="Normal"/>
              <w:keepLines/>
              <w:jc w:val="center"/>
              <w:rPr/>
            </w:pPr>
            <w:r>
              <w:rPr/>
              <w:t>Cashed out at SBP</w:t>
            </w:r>
          </w:p>
          <w:p>
            <w:pPr>
              <w:pStyle w:val="Normal"/>
              <w:keepLines/>
              <w:rPr/>
            </w:pPr>
            <w:r>
              <w:rPr/>
            </w:r>
          </w:p>
        </w:tc>
      </w:tr>
      <w:tr>
        <w:trPr/>
        <w:tc>
          <w:tcPr>
            <w:tcW w:w="3168" w:type="dxa"/>
            <w:tcBorders>
              <w:bottom w:val="single" w:sz="4" w:space="0" w:color="000000"/>
            </w:tcBorders>
          </w:tcPr>
          <w:p>
            <w:pPr>
              <w:pStyle w:val="Normal"/>
              <w:keepLines/>
              <w:jc w:val="start"/>
              <w:rPr/>
            </w:pPr>
            <w:r>
              <w:rPr>
                <w:rFonts w:eastAsia="Book Antiqua"/>
              </w:rPr>
              <w:t xml:space="preserve">  </w:t>
            </w:r>
            <w:r>
              <w:rPr/>
              <w:t>Offsetting imbalances</w:t>
            </w:r>
          </w:p>
        </w:tc>
        <w:tc>
          <w:tcPr>
            <w:tcW w:w="3060" w:type="dxa"/>
            <w:gridSpan w:val="2"/>
            <w:tcBorders>
              <w:bottom w:val="single" w:sz="4" w:space="0" w:color="000000"/>
            </w:tcBorders>
          </w:tcPr>
          <w:p>
            <w:pPr>
              <w:pStyle w:val="Normal"/>
              <w:keepLines/>
              <w:rPr/>
            </w:pPr>
            <w:r>
              <w:rPr/>
              <w:t>No cash-out</w:t>
            </w:r>
          </w:p>
        </w:tc>
        <w:tc>
          <w:tcPr>
            <w:tcW w:w="3072" w:type="dxa"/>
            <w:tcBorders>
              <w:bottom w:val="single" w:sz="4" w:space="0" w:color="000000"/>
            </w:tcBorders>
          </w:tcPr>
          <w:p>
            <w:pPr>
              <w:pStyle w:val="Normal"/>
              <w:keepLines/>
              <w:jc w:val="start"/>
              <w:rPr/>
            </w:pPr>
            <w:r>
              <w:rPr/>
              <w:t>Cashed out at SSP and SBP for long and short imbalance positions</w:t>
            </w:r>
          </w:p>
          <w:p>
            <w:pPr>
              <w:pStyle w:val="Normal"/>
              <w:keepLines/>
              <w:jc w:val="start"/>
              <w:rPr/>
            </w:pPr>
            <w:r>
              <w:rPr/>
            </w:r>
          </w:p>
        </w:tc>
      </w:tr>
    </w:tbl>
    <w:p>
      <w:pPr>
        <w:pStyle w:val="Normal"/>
        <w:rPr/>
      </w:pPr>
      <w:r>
        <w:rPr/>
      </w:r>
    </w:p>
    <w:p>
      <w:pPr>
        <w:pStyle w:val="CommentText"/>
        <w:rPr>
          <w:b/>
        </w:rPr>
      </w:pPr>
      <w:r>
        <w:rPr>
          <w:b/>
        </w:rPr>
      </w:r>
    </w:p>
    <w:p>
      <w:pPr>
        <w:pStyle w:val="CommentText"/>
        <w:rPr/>
      </w:pPr>
      <w:r>
        <w:rPr/>
        <w:t xml:space="preserve">Traders can help market participants balance their </w:t>
      </w:r>
      <w:r>
        <w:rPr>
          <w:i/>
        </w:rPr>
        <w:t>expected</w:t>
      </w:r>
      <w:r>
        <w:rPr/>
        <w:t xml:space="preserve"> net positions prior to gate closure.  However, the aggregation rules do not affect the trading decision before gate closure: penal cash-out arrangements </w:t>
      </w:r>
      <w:r>
        <w:rPr>
          <w:u w:val="single"/>
        </w:rPr>
        <w:t>ensure</w:t>
      </w:r>
      <w:r>
        <w:rPr/>
        <w:t xml:space="preserve"> that participants close out their net expected imbalances whether or not they are allowed to aggregate.  The only difference made by the aggregation restrictions is that if a participant </w:t>
      </w:r>
      <w:r>
        <w:rPr>
          <w:i/>
        </w:rPr>
        <w:t>expects</w:t>
      </w:r>
      <w:r>
        <w:rPr/>
        <w:t xml:space="preserve"> imbalances on their production and consumption accounts to </w:t>
      </w:r>
      <w:r>
        <w:rPr>
          <w:i/>
        </w:rPr>
        <w:t>offset</w:t>
      </w:r>
      <w:r>
        <w:rPr/>
        <w:t xml:space="preserve"> each other, they will need to nominate a “trade” between their production and consumption accounts.  However, this is just a notification, it does not result in an additional trade.</w:t>
      </w:r>
    </w:p>
    <w:p>
      <w:pPr>
        <w:pStyle w:val="Normal"/>
        <w:rPr/>
      </w:pPr>
      <w:r>
        <w:rPr/>
      </w:r>
    </w:p>
    <w:p>
      <w:pPr>
        <w:pStyle w:val="Normal"/>
        <w:rPr/>
      </w:pPr>
      <w:r>
        <w:rPr/>
        <w:t xml:space="preserve">Participants will not buy or sell in advance markets to cover </w:t>
      </w:r>
      <w:r>
        <w:rPr>
          <w:i/>
        </w:rPr>
        <w:t>unexpected</w:t>
      </w:r>
      <w:r>
        <w:rPr/>
        <w:t xml:space="preserve"> imbalances arising after gate closure.</w:t>
      </w:r>
      <w:r>
        <w:rPr>
          <w:rStyle w:val="FootnoteCharacters"/>
          <w:rStyle w:val="FootnoteReference"/>
        </w:rPr>
        <w:footnoteReference w:id="3"/>
      </w:r>
      <w:r>
        <w:rPr/>
        <w:t xml:space="preserve"> The unexpected nature of these imbalances means that participants cannot trade to avoid them and they are therefore cashed out at System Buy or System Sell Price.  Hence, no additional trades will take place to deal with imbalances arising after gate closure.  The </w:t>
      </w:r>
      <w:r>
        <w:rPr>
          <w:u w:val="single"/>
        </w:rPr>
        <w:t>only</w:t>
      </w:r>
      <w:r>
        <w:rPr/>
        <w:t xml:space="preserve"> difference post gate closure is that if aggregation is allowed participants avoid being penalised twice for </w:t>
      </w:r>
      <w:r>
        <w:rPr>
          <w:i/>
        </w:rPr>
        <w:t>offsetting</w:t>
      </w:r>
      <w:r>
        <w:rPr/>
        <w:t xml:space="preserve"> imbalances (which by definition do not have a system impact).</w:t>
      </w:r>
    </w:p>
    <w:p>
      <w:pPr>
        <w:pStyle w:val="Normal"/>
        <w:rPr/>
      </w:pPr>
      <w:r>
        <w:rPr/>
      </w:r>
    </w:p>
    <w:p>
      <w:pPr>
        <w:pStyle w:val="Normal"/>
        <w:rPr/>
      </w:pPr>
      <w:r>
        <w:rPr/>
        <w:t xml:space="preserve">In summary, by actually considering participants’ trading decisions, it is straightforward to demonstrate that the aggregation restrictions will not result in </w:t>
      </w:r>
      <w:r>
        <w:rPr>
          <w:u w:val="single"/>
        </w:rPr>
        <w:t>any additional trades.</w:t>
      </w:r>
      <w:r>
        <w:rPr/>
        <w:t xml:space="preserve"> </w:t>
      </w:r>
    </w:p>
    <w:p>
      <w:pPr>
        <w:pStyle w:val="Heading3"/>
        <w:ind w:hanging="0" w:start="0"/>
        <w:rPr/>
      </w:pPr>
      <w:r>
        <w:rPr/>
        <w:t>The aggregation rules damage small participants</w:t>
      </w:r>
    </w:p>
    <w:p>
      <w:pPr>
        <w:pStyle w:val="Normal"/>
        <w:rPr/>
      </w:pPr>
      <w:r>
        <w:rPr/>
      </w:r>
    </w:p>
    <w:p>
      <w:pPr>
        <w:pStyle w:val="Normal"/>
        <w:rPr/>
      </w:pPr>
      <w:r>
        <w:rPr/>
        <w:t xml:space="preserve">The programme’s claim that allowing aggregation would make life harder for small participants is a bit like claiming that because two-legged people can run faster than those with one-leg, we should amputate both limbs from all people.  While true that one-sided participants are relatively worse off than two-sided participants are, it does </w:t>
      </w:r>
      <w:r>
        <w:rPr>
          <w:u w:val="single"/>
        </w:rPr>
        <w:t>not</w:t>
      </w:r>
      <w:r>
        <w:rPr/>
        <w:t xml:space="preserve"> therefore follow that aggregation should be prevented.  While banning aggregation certainly puts one-sided and two-sided participants on the same level, it does so by making life </w:t>
      </w:r>
      <w:r>
        <w:rPr>
          <w:i/>
        </w:rPr>
        <w:t>even harder for smaller one-sided participants</w:t>
      </w:r>
      <w:r>
        <w:rPr/>
        <w:t xml:space="preserve"> – reducing </w:t>
      </w:r>
      <w:r>
        <w:rPr>
          <w:i/>
        </w:rPr>
        <w:t>still further</w:t>
      </w:r>
      <w:r>
        <w:rPr/>
        <w:t xml:space="preserve"> the scope for entry and competition.</w:t>
      </w:r>
    </w:p>
    <w:p>
      <w:pPr>
        <w:pStyle w:val="Normal"/>
        <w:rPr/>
      </w:pPr>
      <w:r>
        <w:rPr/>
      </w:r>
    </w:p>
    <w:p>
      <w:pPr>
        <w:pStyle w:val="Normal"/>
        <w:rPr/>
      </w:pPr>
      <w:r>
        <w:rPr/>
        <w:t xml:space="preserve">While large vertically integrated players can live without aggregation, smaller players can’t.  Smaller one-sided participants require access to effective risk management options if they are to exist in the market at all.  However, the aggregation rules close down these risk management options by preventing small participants from offsetting their demand and generation risk both with each other, but in the case of larger customers potentially within their own generation and demand portfolio.  It also prevents third-party trader/aggregators from building a risk management book comprising generator and demand responses.  Restricting the ability to do this – by separating production and consumption accounts - </w:t>
      </w:r>
      <w:r>
        <w:rPr>
          <w:u w:val="single"/>
        </w:rPr>
        <w:t>unambiguously makes life even harder for small one-sided market participants and for traders/aggregators</w:t>
      </w:r>
      <w:r>
        <w:rPr/>
        <w:t>.  In the absence of effective third-party aggregation, small players will have only one place left to go to insure themselves against their risks: to large vertically-integrated portfolio players.  This cannot be a beneficial outcome for NETA.</w:t>
      </w:r>
    </w:p>
    <w:p>
      <w:pPr>
        <w:pStyle w:val="CommentText"/>
        <w:rPr/>
      </w:pPr>
      <w:r>
        <w:rPr/>
      </w:r>
    </w:p>
    <w:p>
      <w:pPr>
        <w:pStyle w:val="Heading3"/>
        <w:ind w:hanging="0" w:start="0"/>
        <w:rPr/>
      </w:pPr>
      <w:r>
        <w:rPr/>
        <w:t xml:space="preserve">Regulation is the best way to deal with concerns about aggregation </w:t>
      </w:r>
    </w:p>
    <w:p>
      <w:pPr>
        <w:pStyle w:val="CommentText"/>
        <w:rPr/>
      </w:pPr>
      <w:r>
        <w:rPr/>
      </w:r>
    </w:p>
    <w:p>
      <w:pPr>
        <w:pStyle w:val="Normal"/>
        <w:rPr/>
      </w:pPr>
      <w:r>
        <w:rPr/>
        <w:t>The reason for preventing aggregation is transparently concern about vertical integration in the context of market power (despite some denials by the Programme on this score).  This runs against the aim that the market arrangements should be robust enough to “function effectively across a range of difference industry structures”.  Moreover, concerns about vertical integration do not seem to survive as far as Chapter 14 where we are told that “it can be expected that there will be significant fluidity in the net positions of vertically integrated companies in the wholesale market”.</w:t>
      </w:r>
    </w:p>
    <w:p>
      <w:pPr>
        <w:pStyle w:val="Normal"/>
        <w:rPr/>
      </w:pPr>
      <w:r>
        <w:rPr/>
      </w:r>
    </w:p>
    <w:p>
      <w:pPr>
        <w:pStyle w:val="Normal"/>
        <w:rPr/>
      </w:pPr>
      <w:r>
        <w:rPr/>
        <w:t>It makes no sense to penalise all companies equally in order to solve a problem that only applies to one or two market participants.  If market power is the real concern then the solution is quite clear:</w:t>
      </w:r>
    </w:p>
    <w:p>
      <w:pPr>
        <w:pStyle w:val="Normal"/>
        <w:rPr/>
      </w:pPr>
      <w:r>
        <w:rPr/>
      </w:r>
    </w:p>
    <w:p>
      <w:pPr>
        <w:pStyle w:val="Normal"/>
        <w:numPr>
          <w:ilvl w:val="0"/>
          <w:numId w:val="5"/>
        </w:numPr>
        <w:rPr/>
      </w:pPr>
      <w:r>
        <w:rPr>
          <w:b/>
        </w:rPr>
        <w:t>OFGEM should require only those companies deemed dominant to balance production and consumption accounts separately.</w:t>
      </w:r>
    </w:p>
    <w:p>
      <w:pPr>
        <w:pStyle w:val="Normal"/>
        <w:rPr/>
      </w:pPr>
      <w:r>
        <w:rPr/>
      </w:r>
    </w:p>
    <w:p>
      <w:pPr>
        <w:pStyle w:val="Normal"/>
        <w:rPr/>
      </w:pPr>
      <w:r>
        <w:rPr/>
        <w:t>In this way, concerns about vertical integration and market power are alleviated without removing the real benefits that effective aggregation can bring to smaller market participants.  This would mirror existing licence conditions that prevent contracts between generation and supply businesses.</w:t>
      </w:r>
    </w:p>
    <w:p>
      <w:pPr>
        <w:pStyle w:val="Normal"/>
        <w:rPr/>
      </w:pPr>
      <w:r>
        <w:rPr/>
      </w:r>
    </w:p>
    <w:p>
      <w:pPr>
        <w:pStyle w:val="Normal"/>
        <w:rPr/>
      </w:pPr>
      <w:r>
        <w:rPr/>
        <w:t>We are also deeply concerned about the possibility of larger dominant players aggregating across production or consumption portfolios.  The possibility of larger generators seeking to aggregate IPP meters into their own portfolios - potentially with additional control over that meter - creates real concerns about extensions to generator market power.  Concerns about generator market dominance therefore extend beyond the physical ownership of the plant to the responsibility for and control over physical power flows.  Until OFGEM is convinced that generator market power is no longer a problem, it should also impose the following restriction on generators and suppliers with market power:</w:t>
      </w:r>
    </w:p>
    <w:p>
      <w:pPr>
        <w:pStyle w:val="Normal"/>
        <w:rPr/>
      </w:pPr>
      <w:r>
        <w:rPr/>
      </w:r>
    </w:p>
    <w:p>
      <w:pPr>
        <w:pStyle w:val="Normal"/>
        <w:numPr>
          <w:ilvl w:val="0"/>
          <w:numId w:val="11"/>
        </w:numPr>
        <w:rPr>
          <w:b/>
        </w:rPr>
      </w:pPr>
      <w:r>
        <w:rPr>
          <w:b/>
        </w:rPr>
        <w:t>market participants deemed to have market power would be prevented from aggregating independent third parties into their production or consumption portfolios.</w:t>
      </w:r>
    </w:p>
    <w:p>
      <w:pPr>
        <w:pStyle w:val="Normal"/>
        <w:rPr>
          <w:b/>
        </w:rPr>
      </w:pPr>
      <w:r>
        <w:rPr>
          <w:b/>
        </w:rPr>
      </w:r>
    </w:p>
    <w:p>
      <w:pPr>
        <w:pStyle w:val="Normal"/>
        <w:rPr/>
      </w:pPr>
      <w:r>
        <w:rPr/>
        <w:t>Adopting this proposition and allowing non-dominant players to aggregate production and consumption allows the regulator to control the spread of market power, while achieving efficiency gains from loosening restrictions.  On the aggregation issue therefore, OFGEM is in the unusual position of being able to have their cake and eat it.</w:t>
      </w:r>
    </w:p>
    <w:p>
      <w:pPr>
        <w:pStyle w:val="Normal"/>
        <w:rPr/>
      </w:pPr>
      <w:r>
        <w:rPr/>
      </w:r>
    </w:p>
    <w:p>
      <w:pPr>
        <w:pStyle w:val="Heading3"/>
        <w:ind w:hanging="0" w:start="0"/>
        <w:rPr/>
      </w:pPr>
      <w:r>
        <w:rPr/>
        <w:t>Summary: Aggregation should be dealt with by regulation, not market rules</w:t>
      </w:r>
    </w:p>
    <w:p>
      <w:pPr>
        <w:pStyle w:val="CommentText"/>
        <w:rPr/>
      </w:pPr>
      <w:r>
        <w:rPr/>
      </w:r>
    </w:p>
    <w:p>
      <w:pPr>
        <w:pStyle w:val="Normal"/>
        <w:rPr/>
      </w:pPr>
      <w:r>
        <w:rPr/>
        <w:t>The above has demonstrated that there are only two effects of the aggregation rules: the additional burden of having to notify a contract with oneself prior to gate closure; and arbitrary penalties on market participants who happen to have offsetting imbalances (which by definition) do not have a system impact.  We have also demonstrated that far from making life easier for small market participants, the aggregation rules restrict their options still further, further reducing their ability to manage risks and compete effectively in the market.  Finally, to the extent that any regulatory concerns about aggregation remain, they can be solved directly by restricting the ability of larger, dominant market participants to aggregate.</w:t>
      </w:r>
    </w:p>
    <w:p>
      <w:pPr>
        <w:pStyle w:val="Heading2"/>
        <w:ind w:hanging="0" w:start="0"/>
        <w:rPr/>
      </w:pPr>
      <w:r>
        <w:rPr/>
        <w:t>“</w:t>
      </w:r>
      <w:r>
        <w:rPr/>
        <w:t>Contract” notification should be ex post or real-time</w:t>
      </w:r>
    </w:p>
    <w:p>
      <w:pPr>
        <w:pStyle w:val="Normal"/>
        <w:rPr/>
      </w:pPr>
      <w:r>
        <w:rPr/>
      </w:r>
    </w:p>
    <w:p>
      <w:pPr>
        <w:pStyle w:val="Normal"/>
        <w:rPr/>
      </w:pPr>
      <w:r>
        <w:rPr/>
        <w:t xml:space="preserve">The requirement to make volume notifications to settlement at gate closure imposes unwarranted costs and barriers to market participants seeking to manage the risk of imbalances that arise after gate closure.  The requirement for each small player to balance by gate closure means that each must bear the cost of subsequent imbalances privately without the ability to pass those risks without penalty to a third party.  For example, it would effectively prevent a dedicated aggregator providing wholesale risk management to several small suppliers and generators and hence relying on portfolio effects to reduce their individual risk management costs.  This directly reduces the efficiency of the market and increases costs to consumers by restricting competition between wholesalers or “shippers” to serve generators, suppliers and customers.  In turn this is likely to stifle new entrants into the supply and generation markets (once the current ban on entry is lifted).  Contract notification should therefore be allowed ex post or at the very least, in real time. </w:t>
      </w:r>
    </w:p>
    <w:p>
      <w:pPr>
        <w:pStyle w:val="Normal"/>
        <w:rPr/>
      </w:pPr>
      <w:r>
        <w:rPr/>
      </w:r>
    </w:p>
    <w:p>
      <w:pPr>
        <w:pStyle w:val="Normal"/>
        <w:rPr/>
      </w:pPr>
      <w:r>
        <w:rPr/>
        <w:t xml:space="preserve">The proposed prevention of ex post contract notification largely stems from concerns about an increased scope of market manipulation.  However, while it is right to be worried about manipulation, we prove below that </w:t>
      </w:r>
      <w:r>
        <w:rPr>
          <w:u w:val="single"/>
        </w:rPr>
        <w:t>ex post notification raises no additional concerns to those present under ex ante notification.</w:t>
      </w:r>
      <w:r>
        <w:rPr/>
        <w:t xml:space="preserve">  It follows that these concerns cannot therefore justify the prevention of ex post notification.  The following sections expand on this to demonstrate that none of the arguments put forward for ex ante notification stand too much scrutiny.</w:t>
      </w:r>
    </w:p>
    <w:p>
      <w:pPr>
        <w:pStyle w:val="Normal"/>
        <w:rPr/>
      </w:pPr>
      <w:r>
        <w:rPr/>
      </w:r>
    </w:p>
    <w:p>
      <w:pPr>
        <w:pStyle w:val="Normal"/>
        <w:rPr/>
      </w:pPr>
      <w:r>
        <w:rPr/>
        <w:t xml:space="preserve">However, before embarking on the detailed analysis it is worth noting that if the Programme’s concerns about market manipulation after gate closure were valid, that would provide a </w:t>
      </w:r>
      <w:r>
        <w:rPr>
          <w:i/>
        </w:rPr>
        <w:t>prima facie</w:t>
      </w:r>
      <w:r>
        <w:rPr/>
        <w:t xml:space="preserve"> case for extending gate closure </w:t>
      </w:r>
      <w:r>
        <w:rPr>
          <w:i/>
        </w:rPr>
        <w:t>beyond</w:t>
      </w:r>
      <w:r>
        <w:rPr/>
        <w:t xml:space="preserve"> four hours.  The fact that there is a strong push in the Programme to shorten gate closure, at the very least suggests a rather eclectic approach to the justification of different elements of the NETA proposals.</w:t>
      </w:r>
    </w:p>
    <w:p>
      <w:pPr>
        <w:pStyle w:val="Normal"/>
        <w:rPr/>
      </w:pPr>
      <w:r>
        <w:rPr/>
      </w:r>
    </w:p>
    <w:p>
      <w:pPr>
        <w:pStyle w:val="Heading3"/>
        <w:ind w:hanging="0" w:start="0"/>
        <w:rPr/>
      </w:pPr>
      <w:r>
        <w:rPr/>
        <w:t xml:space="preserve">Ex post notification does </w:t>
      </w:r>
      <w:r>
        <w:rPr>
          <w:u w:val="single"/>
        </w:rPr>
        <w:t>not</w:t>
      </w:r>
      <w:r>
        <w:rPr/>
        <w:t xml:space="preserve"> promote market manipulation</w:t>
      </w:r>
    </w:p>
    <w:p>
      <w:pPr>
        <w:pStyle w:val="Normal"/>
        <w:rPr/>
      </w:pPr>
      <w:r>
        <w:rPr/>
      </w:r>
    </w:p>
    <w:p>
      <w:pPr>
        <w:pStyle w:val="Normal"/>
        <w:rPr/>
      </w:pPr>
      <w:r>
        <w:rPr>
          <w:b/>
        </w:rPr>
        <w:t>There is no more scope for market manipulation under ex post notification than there is under ex ante notification.</w:t>
      </w:r>
      <w:r>
        <w:rPr/>
        <w:t xml:space="preserve">  While concerns about market manipulation are valid, these concerns cannot therefore justify a restriction of notifying contract volumes ex post.</w:t>
      </w:r>
    </w:p>
    <w:p>
      <w:pPr>
        <w:pStyle w:val="Normal"/>
        <w:rPr/>
      </w:pPr>
      <w:r>
        <w:rPr/>
      </w:r>
    </w:p>
    <w:p>
      <w:pPr>
        <w:pStyle w:val="Normal"/>
        <w:rPr>
          <w:i/>
          <w:i/>
        </w:rPr>
      </w:pPr>
      <w:r>
        <w:rPr/>
        <w:t xml:space="preserve">Dominant market participants can create shortages in the market prior to gate closure and hence generate a high System Buy Price (SBP).  However, their ability to do this is </w:t>
      </w:r>
      <w:r>
        <w:rPr>
          <w:i/>
        </w:rPr>
        <w:t>common</w:t>
      </w:r>
      <w:r>
        <w:rPr/>
        <w:t xml:space="preserve"> to both ex post and ex ante notification.  For ex post contract notification to be worse than ex ante notification, it must therefore be demonstrated that generators have the ability and incentive to manipulate the market after gate closure.  It must also be shown that this manipulation results in persistently worse cash-out prices (and hence forward trades).  However, further analysis of market participants’ incentives demonstrates quite clearly that manipulation of the ex post environment </w:t>
      </w:r>
      <w:r>
        <w:rPr>
          <w:u w:val="single"/>
        </w:rPr>
        <w:t>will not occur</w:t>
      </w:r>
      <w:r>
        <w:rPr/>
        <w:t xml:space="preserve"> and therefore that </w:t>
      </w:r>
      <w:r>
        <w:rPr>
          <w:u w:val="single"/>
        </w:rPr>
        <w:t>ex post notification cannot have any effect</w:t>
      </w:r>
      <w:r>
        <w:rPr/>
        <w:t xml:space="preserve"> (positive or negative) on the state of the market prior to gate closure. </w:t>
      </w:r>
    </w:p>
    <w:p>
      <w:pPr>
        <w:pStyle w:val="Normal"/>
        <w:rPr>
          <w:i/>
          <w:i/>
        </w:rPr>
      </w:pPr>
      <w:r>
        <w:rPr>
          <w:i/>
        </w:rPr>
      </w:r>
    </w:p>
    <w:p>
      <w:pPr>
        <w:pStyle w:val="Normal"/>
        <w:rPr/>
      </w:pPr>
      <w:r>
        <w:rPr/>
        <w:t xml:space="preserve">Deliberately spilling electricity to create a long cash-out position is the only thing that generators can do with ex post notification that they cannot do with ex ante notification.  To make matters worse under ex post notification than under ex ante notification, generators therefore need to over-generate against their contracted and balancing mechanism commitments </w:t>
      </w:r>
      <w:r>
        <w:rPr>
          <w:u w:val="single"/>
        </w:rPr>
        <w:t>and</w:t>
      </w:r>
      <w:r>
        <w:rPr/>
        <w:t xml:space="preserve"> generate persistently higher prices in the ex post market for the resulting long cash-out positions.  However, to make this behaviour worthwhile for a generator, the following two conditions must be met:</w:t>
      </w:r>
    </w:p>
    <w:p>
      <w:pPr>
        <w:pStyle w:val="Normal"/>
        <w:rPr/>
      </w:pPr>
      <w:r>
        <w:rPr/>
      </w:r>
    </w:p>
    <w:p>
      <w:pPr>
        <w:pStyle w:val="Normal"/>
        <w:numPr>
          <w:ilvl w:val="0"/>
          <w:numId w:val="9"/>
        </w:numPr>
        <w:rPr/>
      </w:pPr>
      <w:r>
        <w:rPr/>
        <w:t>The generator must be able to sell at least as much spill as they would have been able to sell through the balancing mechanism; and</w:t>
      </w:r>
    </w:p>
    <w:p>
      <w:pPr>
        <w:pStyle w:val="Normal"/>
        <w:numPr>
          <w:ilvl w:val="0"/>
          <w:numId w:val="4"/>
        </w:numPr>
        <w:rPr/>
      </w:pPr>
      <w:r>
        <w:rPr/>
        <w:t>The ex post price must be higher than they would have received had they sold to the system operator through the balancing mechanism.</w:t>
      </w:r>
    </w:p>
    <w:p>
      <w:pPr>
        <w:pStyle w:val="Normal"/>
        <w:rPr/>
      </w:pPr>
      <w:r>
        <w:rPr/>
      </w:r>
    </w:p>
    <w:p>
      <w:pPr>
        <w:pStyle w:val="Normal"/>
        <w:keepNext w:val="true"/>
        <w:rPr/>
      </w:pPr>
      <w:r>
        <w:rPr/>
        <w:t>Neither of these conditions is met for the following reasons:</w:t>
      </w:r>
    </w:p>
    <w:p>
      <w:pPr>
        <w:pStyle w:val="Normal"/>
        <w:keepNext w:val="true"/>
        <w:rPr/>
      </w:pPr>
      <w:r>
        <w:rPr/>
      </w:r>
    </w:p>
    <w:p>
      <w:pPr>
        <w:pStyle w:val="Normal"/>
        <w:numPr>
          <w:ilvl w:val="0"/>
          <w:numId w:val="2"/>
        </w:numPr>
        <w:rPr/>
      </w:pPr>
      <w:r>
        <w:rPr/>
        <w:t>Every MWh sold by an individual generator through the BM becomes a firm delivery commitment (ie, a short-position) and therefore every MWh sold by a generator through the BM is one less MWh that they can sell from a long-position in ex post imbalances;</w:t>
      </w:r>
    </w:p>
    <w:p>
      <w:pPr>
        <w:pStyle w:val="Normal"/>
        <w:numPr>
          <w:ilvl w:val="0"/>
          <w:numId w:val="2"/>
        </w:numPr>
        <w:rPr/>
      </w:pPr>
      <w:r>
        <w:rPr/>
        <w:t>The aggregate of the short positions on the system will not change ex post and - since the system must ultimately balance – every MWh spilled therefore displaces a MWh sold through the BM (and vice versa);</w:t>
      </w:r>
    </w:p>
    <w:p>
      <w:pPr>
        <w:pStyle w:val="Normal"/>
        <w:numPr>
          <w:ilvl w:val="0"/>
          <w:numId w:val="2"/>
        </w:numPr>
        <w:rPr/>
      </w:pPr>
      <w:r>
        <w:rPr/>
        <w:t>While individual generators might be able to spill, for generators as a whole “spilling” is therefore a zero sum game;</w:t>
      </w:r>
    </w:p>
    <w:p>
      <w:pPr>
        <w:pStyle w:val="Normal"/>
        <w:numPr>
          <w:ilvl w:val="0"/>
          <w:numId w:val="2"/>
        </w:numPr>
        <w:rPr/>
      </w:pPr>
      <w:r>
        <w:rPr/>
        <w:t xml:space="preserve">If spilling was worthwhile, generators would </w:t>
      </w:r>
      <w:r>
        <w:rPr>
          <w:u w:val="single"/>
        </w:rPr>
        <w:t>compete at each other’s expense</w:t>
      </w:r>
      <w:r>
        <w:rPr/>
        <w:t xml:space="preserve"> to spill rather than sell through the BM; and</w:t>
      </w:r>
    </w:p>
    <w:p>
      <w:pPr>
        <w:pStyle w:val="Normal"/>
        <w:numPr>
          <w:ilvl w:val="0"/>
          <w:numId w:val="2"/>
        </w:numPr>
        <w:rPr/>
      </w:pPr>
      <w:r>
        <w:rPr/>
        <w:t>Any differential between prices available for spill and BM sales would be completely removed by arbitrage.</w:t>
      </w:r>
    </w:p>
    <w:p>
      <w:pPr>
        <w:pStyle w:val="Normal"/>
        <w:rPr/>
      </w:pPr>
      <w:r>
        <w:rPr/>
      </w:r>
    </w:p>
    <w:p>
      <w:pPr>
        <w:pStyle w:val="Normal"/>
        <w:rPr/>
      </w:pPr>
      <w:r>
        <w:rPr/>
        <w:t>Not only would arbitrage remove any persistent differential between selling through the BM and spilling, but it’s unlikely that any price differential would be there in the first place because:</w:t>
      </w:r>
    </w:p>
    <w:p>
      <w:pPr>
        <w:pStyle w:val="Normal"/>
        <w:rPr/>
      </w:pPr>
      <w:r>
        <w:rPr/>
      </w:r>
    </w:p>
    <w:p>
      <w:pPr>
        <w:pStyle w:val="Normal"/>
        <w:numPr>
          <w:ilvl w:val="0"/>
          <w:numId w:val="13"/>
        </w:numPr>
        <w:rPr/>
      </w:pPr>
      <w:r>
        <w:rPr/>
        <w:t>BM offer prices will be set equal to price of the last offer that the SO is expected to accept, ie, offers would converge on the expected marginal offer; and</w:t>
      </w:r>
    </w:p>
    <w:p>
      <w:pPr>
        <w:pStyle w:val="Normal"/>
        <w:numPr>
          <w:ilvl w:val="0"/>
          <w:numId w:val="13"/>
        </w:numPr>
        <w:rPr/>
      </w:pPr>
      <w:r>
        <w:rPr/>
        <w:t>SBP is the weighted average of accepted offers and hence would also converge on the expected marginal offer (assuming symmetric errors in generator expectations); and</w:t>
      </w:r>
    </w:p>
    <w:p>
      <w:pPr>
        <w:pStyle w:val="Normal"/>
        <w:numPr>
          <w:ilvl w:val="0"/>
          <w:numId w:val="13"/>
        </w:numPr>
        <w:rPr/>
      </w:pPr>
      <w:r>
        <w:rPr/>
        <w:t xml:space="preserve">The expected price for spilling output with ex post trading can be no better than SBP (ie, the price paid for short positions in cash out). </w:t>
      </w:r>
    </w:p>
    <w:p>
      <w:pPr>
        <w:pStyle w:val="Normal"/>
        <w:rPr/>
      </w:pPr>
      <w:r>
        <w:rPr/>
      </w:r>
    </w:p>
    <w:p>
      <w:pPr>
        <w:pStyle w:val="Normal"/>
        <w:rPr/>
      </w:pPr>
      <w:r>
        <w:rPr/>
        <w:t xml:space="preserve">In short, generators’ expectations should ensure that prices offered (and accepted) for controllable output in the BM would converge on expected levels of SBP.  The question then is, why would a flexible generator operating in the balancing mechanism choose to accept the risk associated with trying to achieve SBP through ex post trading when they can sell the same amount for the same expected price without that risk?  The answer is that they won’t. </w:t>
      </w:r>
    </w:p>
    <w:p>
      <w:pPr>
        <w:pStyle w:val="Normal"/>
        <w:rPr/>
      </w:pPr>
      <w:r>
        <w:rPr/>
      </w:r>
    </w:p>
    <w:p>
      <w:pPr>
        <w:pStyle w:val="Normal"/>
        <w:rPr>
          <w:i/>
          <w:i/>
        </w:rPr>
      </w:pPr>
      <w:r>
        <w:rPr/>
        <w:t xml:space="preserve">It follows logically from the above that there is no benefit to a generator from attempting to exploit an ex post trading environment by changing their output to create a long position in imbalances (to sell in the ex post market).  Given that </w:t>
      </w:r>
      <w:r>
        <w:rPr>
          <w:b/>
        </w:rPr>
        <w:t>there is no scope for manipulation under ex post notification that is not already there under ex ante notification,</w:t>
      </w:r>
      <w:r>
        <w:rPr/>
        <w:t xml:space="preserve"> it follows logically that vague concerns about manipulating an ex post market cannot be the reason for adopting ex ante notification.  As the next section explains, without manipulation, ex post notification also </w:t>
      </w:r>
      <w:r>
        <w:rPr>
          <w:u w:val="single"/>
        </w:rPr>
        <w:t>cannot</w:t>
      </w:r>
      <w:r>
        <w:rPr/>
        <w:t xml:space="preserve"> disadvantage small market participants.</w:t>
      </w:r>
    </w:p>
    <w:p>
      <w:pPr>
        <w:pStyle w:val="Normal"/>
        <w:rPr>
          <w:i/>
          <w:i/>
        </w:rPr>
      </w:pPr>
      <w:r>
        <w:rPr>
          <w:i/>
        </w:rPr>
      </w:r>
    </w:p>
    <w:p>
      <w:pPr>
        <w:pStyle w:val="Heading3"/>
        <w:ind w:hanging="0" w:start="0"/>
        <w:rPr/>
      </w:pPr>
      <w:r>
        <w:rPr/>
        <w:t xml:space="preserve">Ex post notification is an </w:t>
      </w:r>
      <w:r>
        <w:rPr>
          <w:u w:val="single"/>
        </w:rPr>
        <w:t>advantage</w:t>
      </w:r>
      <w:r>
        <w:rPr/>
        <w:t xml:space="preserve"> for small participants</w:t>
      </w:r>
    </w:p>
    <w:p>
      <w:pPr>
        <w:pStyle w:val="Normal"/>
        <w:rPr/>
      </w:pPr>
      <w:r>
        <w:rPr/>
      </w:r>
    </w:p>
    <w:p>
      <w:pPr>
        <w:pStyle w:val="Normal"/>
        <w:rPr/>
      </w:pPr>
      <w:r>
        <w:rPr/>
        <w:t xml:space="preserve">The consultation paper claims that ex post notification discriminates against smaller participants because effective cash-out prices under ex post rise to “just below” the SBP and smaller participants find it harder to trade out of their positions than larger participants in the ex post market.  However, these claims completely miss the point that market participants are </w:t>
      </w:r>
      <w:r>
        <w:rPr>
          <w:i/>
        </w:rPr>
        <w:t>already</w:t>
      </w:r>
      <w:r>
        <w:rPr/>
        <w:t xml:space="preserve"> </w:t>
      </w:r>
      <w:r>
        <w:rPr>
          <w:i/>
        </w:rPr>
        <w:t xml:space="preserve">paying the SBP for their imbalances and hence cannot possibly </w:t>
      </w:r>
      <w:r>
        <w:rPr/>
        <w:t>be worse off with ex post nomination.  Even paying “just below” SBP is better than paying SBP.  (Moreover, the previous section demonstrated that there would not be any persistent difference in cash-out prices under either ex post or ex ante notification.)</w:t>
      </w:r>
    </w:p>
    <w:p>
      <w:pPr>
        <w:pStyle w:val="Normal"/>
        <w:rPr/>
      </w:pPr>
      <w:r>
        <w:rPr/>
      </w:r>
    </w:p>
    <w:p>
      <w:pPr>
        <w:pStyle w:val="Normal"/>
        <w:rPr/>
      </w:pPr>
      <w:r>
        <w:rPr/>
        <w:t xml:space="preserve">The very worst that can therefore happen to a small participant is that they are cashed out at SBP rather than finding an offsetting imbalance at a lower price in the ex post market.   This cannot be bad for small participants.  Indeed quite the opposite is true – </w:t>
      </w:r>
      <w:r>
        <w:rPr>
          <w:b/>
        </w:rPr>
        <w:t xml:space="preserve">ex post notification is unambiguously good news for small market participants. </w:t>
      </w:r>
    </w:p>
    <w:p>
      <w:pPr>
        <w:pStyle w:val="Normal"/>
        <w:rPr>
          <w:b/>
        </w:rPr>
      </w:pPr>
      <w:r>
        <w:rPr>
          <w:b/>
        </w:rPr>
      </w:r>
    </w:p>
    <w:p>
      <w:pPr>
        <w:pStyle w:val="Heading3"/>
        <w:ind w:hanging="0" w:start="0"/>
        <w:rPr/>
      </w:pPr>
      <w:r>
        <w:rPr/>
        <w:t>Ex ante notification will not increase market liquidity</w:t>
      </w:r>
    </w:p>
    <w:p>
      <w:pPr>
        <w:pStyle w:val="Normal"/>
        <w:rPr/>
      </w:pPr>
      <w:r>
        <w:rPr/>
      </w:r>
    </w:p>
    <w:p>
      <w:pPr>
        <w:pStyle w:val="Normal"/>
        <w:rPr/>
      </w:pPr>
      <w:r>
        <w:rPr/>
        <w:t xml:space="preserve">We would be highly sceptical about vague claims that ex ante notification somehow increases market liquidity.  </w:t>
      </w:r>
      <w:r>
        <w:rPr>
          <w:u w:val="single"/>
        </w:rPr>
        <w:t>Ex ante notification will not result in a single additional trade</w:t>
      </w:r>
      <w:r>
        <w:rPr/>
        <w:t xml:space="preserve"> for reasons similar to those described in the aggregation section above.  The risks of a highly volatile – and penal – cash out price ensure that participants have more than adequate incentives to contract before gate closure for their </w:t>
      </w:r>
      <w:r>
        <w:rPr>
          <w:i/>
        </w:rPr>
        <w:t>expected</w:t>
      </w:r>
      <w:r>
        <w:rPr/>
        <w:t xml:space="preserve"> imbalances with or without ex post notification.  All ex post notification allows one to do is to trade </w:t>
      </w:r>
      <w:r>
        <w:rPr>
          <w:i/>
        </w:rPr>
        <w:t xml:space="preserve">offsetting </w:t>
      </w:r>
      <w:r>
        <w:rPr/>
        <w:t xml:space="preserve">imbalances which arise after gate closure. As section 2.2.1 demonstrated above, the inability to exploit an ex post environment by deliberately spilling means that any ex post trades will be from </w:t>
      </w:r>
      <w:r>
        <w:rPr>
          <w:i/>
        </w:rPr>
        <w:t>unexpected</w:t>
      </w:r>
      <w:r>
        <w:rPr/>
        <w:t xml:space="preserve"> imbalance positions which (almost by definition) would not result in additional forward trades.  Hence, we fail to see how a restriction to notify ex ante </w:t>
      </w:r>
      <w:r>
        <w:rPr>
          <w:u w:val="single"/>
        </w:rPr>
        <w:t>could</w:t>
      </w:r>
      <w:r>
        <w:rPr/>
        <w:t xml:space="preserve"> result in more trades than with ex post notification. </w:t>
      </w:r>
    </w:p>
    <w:p>
      <w:pPr>
        <w:pStyle w:val="Heading3"/>
        <w:ind w:hanging="0" w:start="0"/>
        <w:rPr/>
      </w:pPr>
      <w:r>
        <w:rPr/>
        <w:t>Claiming that full-requirements contracts are still possible is disingenuous</w:t>
      </w:r>
    </w:p>
    <w:p>
      <w:pPr>
        <w:pStyle w:val="Normal"/>
        <w:keepNext w:val="true"/>
        <w:rPr/>
      </w:pPr>
      <w:r>
        <w:rPr/>
      </w:r>
    </w:p>
    <w:p>
      <w:pPr>
        <w:pStyle w:val="Normal"/>
        <w:rPr/>
      </w:pPr>
      <w:r>
        <w:rPr/>
        <w:t xml:space="preserve">The consultation document states that participants will still “be free” to enter into full requirements contracts.  Given that </w:t>
      </w:r>
      <w:r>
        <w:rPr>
          <w:i/>
        </w:rPr>
        <w:t>ex ante notification</w:t>
      </w:r>
      <w:r>
        <w:rPr/>
        <w:t xml:space="preserve"> unambiguously raises the risks and costs of entering a full requirements contract this is no comfort whatsoever.  It’s a bit like claiming that doubling fuel excise duty is a </w:t>
      </w:r>
      <w:r>
        <w:rPr>
          <w:u w:val="single"/>
        </w:rPr>
        <w:t>good</w:t>
      </w:r>
      <w:r>
        <w:rPr/>
        <w:t xml:space="preserve"> thing for motorists because they’re still “free” to drive their cars.</w:t>
      </w:r>
    </w:p>
    <w:p>
      <w:pPr>
        <w:pStyle w:val="Normal"/>
        <w:rPr/>
      </w:pPr>
      <w:r>
        <w:rPr/>
      </w:r>
    </w:p>
    <w:p>
      <w:pPr>
        <w:pStyle w:val="Heading3"/>
        <w:ind w:hanging="0" w:start="0"/>
        <w:rPr/>
      </w:pPr>
      <w:r>
        <w:rPr/>
        <w:t>Ex post risks cannot be effectively mitigated through the balancing mechanism</w:t>
      </w:r>
    </w:p>
    <w:p>
      <w:pPr>
        <w:pStyle w:val="Header"/>
        <w:keepNext w:val="true"/>
        <w:tabs>
          <w:tab w:val="clear" w:pos="4153"/>
          <w:tab w:val="clear" w:pos="8306"/>
        </w:tabs>
        <w:spacing w:lineRule="auto" w:line="264"/>
        <w:rPr/>
      </w:pPr>
      <w:r>
        <w:rPr/>
      </w:r>
    </w:p>
    <w:p>
      <w:pPr>
        <w:pStyle w:val="Normal"/>
        <w:rPr/>
      </w:pPr>
      <w:r>
        <w:rPr/>
        <w:t>The claim that market participants “will be able to mitigate their potential exposure by placing offers and bids in the balancing mechanism”</w:t>
      </w:r>
      <w:r>
        <w:rPr>
          <w:rStyle w:val="FootnoteCharacters"/>
          <w:rStyle w:val="FootnoteReference"/>
        </w:rPr>
        <w:footnoteReference w:id="4"/>
      </w:r>
      <w:r>
        <w:rPr/>
        <w:t xml:space="preserve"> is also highly misleading since every BM bid or offer accepted by the SO becomes a firm delivery commitment.  Placing bids and offers in the balancing mechanism is therefore a good way to </w:t>
      </w:r>
      <w:r>
        <w:rPr>
          <w:u w:val="single"/>
        </w:rPr>
        <w:t>increase</w:t>
      </w:r>
      <w:r>
        <w:rPr/>
        <w:t xml:space="preserve"> exposure to cash-out since not only is the participant exposed to their unpredictable risks, they are then exposed to the risk of not delivering on the accepted balancing trade.</w:t>
      </w:r>
    </w:p>
    <w:p>
      <w:pPr>
        <w:pStyle w:val="Normal"/>
        <w:rPr/>
      </w:pPr>
      <w:r>
        <w:rPr/>
      </w:r>
    </w:p>
    <w:p>
      <w:pPr>
        <w:pStyle w:val="Normal"/>
        <w:rPr/>
      </w:pPr>
      <w:r>
        <w:rPr/>
        <w:t>With bids and offers fixed at gate closure, there is little, if any, opportunity for participants to attempt to sell imbalances arising after gate closure.  These risks are inevitably uncontrollable (if they were controllable participants wouldn’t be exposed to cash-out anyway).   Even if market participants do make offers and bids, but only activate those bids ex post (through export and import limits) when the direction of imbalance becomes clearer, how likely would the SO be to accept those bids or offers?  Given that the source is completely uncontrollable and that it is likely to already be straying from the FPN, we cannot see the SO accepting too many.</w:t>
      </w:r>
    </w:p>
    <w:p>
      <w:pPr>
        <w:pStyle w:val="Normal"/>
        <w:rPr/>
      </w:pPr>
      <w:r>
        <w:rPr/>
      </w:r>
    </w:p>
    <w:p>
      <w:pPr>
        <w:pStyle w:val="Heading3"/>
        <w:ind w:hanging="0" w:start="0"/>
        <w:rPr/>
      </w:pPr>
      <w:r>
        <w:rPr/>
        <w:t>The ease of transition does not justify ex ante</w:t>
      </w:r>
    </w:p>
    <w:p>
      <w:pPr>
        <w:pStyle w:val="Normal"/>
        <w:rPr/>
      </w:pPr>
      <w:r>
        <w:rPr/>
      </w:r>
    </w:p>
    <w:p>
      <w:pPr>
        <w:pStyle w:val="Normal"/>
        <w:rPr/>
      </w:pPr>
      <w:r>
        <w:rPr/>
        <w:t>The argument that we should support ex ante because it is easier to move to ex post from ex ante than vice versa is a complete red herring.   Spending lots of money on an over-engineered solution up front no doubt reduces the incremental cost of future development.  However, a simple investment appraisal would demonstrate that this is not necessarily sufficient to justify that up-front cost.</w:t>
      </w:r>
    </w:p>
    <w:p>
      <w:pPr>
        <w:pStyle w:val="Normal"/>
        <w:rPr/>
      </w:pPr>
      <w:r>
        <w:rPr/>
      </w:r>
    </w:p>
    <w:p>
      <w:pPr>
        <w:pStyle w:val="Normal"/>
        <w:rPr/>
      </w:pPr>
      <w:r>
        <w:rPr/>
        <w:t xml:space="preserve">Given that ex ante notification is likely to be significantly more costly than ex post notification, it would require only a small chance that ex post was the right solution to decide that ex post now was the correct investment decision.  (Essentially you are trading off certainty of spending a lot now against the chance that by going for ex post now you never have incur the high cost of ex ante and even if you do, you’ve gained the value of putting back the decision.) </w:t>
      </w:r>
    </w:p>
    <w:p>
      <w:pPr>
        <w:pStyle w:val="Normal"/>
        <w:rPr/>
      </w:pPr>
      <w:r>
        <w:rPr/>
      </w:r>
    </w:p>
    <w:p>
      <w:pPr>
        <w:pStyle w:val="Heading2"/>
        <w:ind w:hanging="0" w:start="0"/>
        <w:rPr/>
      </w:pPr>
      <w:r>
        <w:rPr/>
        <w:t>Flexible meter splitting is efficient and reduces implementation costs</w:t>
      </w:r>
    </w:p>
    <w:p>
      <w:pPr>
        <w:pStyle w:val="Normal"/>
        <w:keepNext w:val="true"/>
        <w:rPr>
          <w:b/>
        </w:rPr>
      </w:pPr>
      <w:r>
        <w:rPr>
          <w:b/>
        </w:rPr>
      </w:r>
    </w:p>
    <w:p>
      <w:pPr>
        <w:pStyle w:val="Normal"/>
        <w:rPr/>
      </w:pPr>
      <w:r>
        <w:rPr/>
        <w:t>The rules for “splitting” meters are unduly restrictive.  Only allowing market participants to divide a meter into fixed percentages does not reflect participants’ requirements for dividing responsibility for flows onto and off the system.  Restricting participants’ ability to split meter reads flexibly is likely to increase the costs of risk management, further reduce competition and significantly increase the costs of transition to the NETA arrangements.</w:t>
      </w:r>
    </w:p>
    <w:p>
      <w:pPr>
        <w:pStyle w:val="Normal"/>
        <w:rPr/>
      </w:pPr>
      <w:r>
        <w:rPr/>
      </w:r>
    </w:p>
    <w:p>
      <w:pPr>
        <w:pStyle w:val="Normal"/>
        <w:rPr/>
      </w:pPr>
      <w:r>
        <w:rPr/>
        <w:t xml:space="preserve">Many current power sales arrangements at many independent generators allocate the output from the power station on the basis of pre-determined rules.  These rules are typically </w:t>
      </w:r>
      <w:r>
        <w:rPr>
          <w:u w:val="single"/>
        </w:rPr>
        <w:t>not</w:t>
      </w:r>
      <w:r>
        <w:rPr/>
        <w:t xml:space="preserve"> based on simple proportions.  These rules can be highly complex and it will not always be possible to determine which offtaker took which volume in advance.  Flexible meter splitting would allow similar flexibility under the future arrangements and hence would </w:t>
      </w:r>
      <w:r>
        <w:rPr>
          <w:i/>
        </w:rPr>
        <w:t>significantly reduce the complexity, time and cost taken by many participants to realign their existing agreements for operation under NETA.</w:t>
      </w:r>
      <w:r>
        <w:rPr/>
        <w:t xml:space="preserve">  This is a highly significant gain in efficiency for the new arrangements.</w:t>
      </w:r>
    </w:p>
    <w:p>
      <w:pPr>
        <w:pStyle w:val="Normal"/>
        <w:rPr>
          <w:rFonts w:eastAsia="Book Antiqua"/>
        </w:rPr>
      </w:pPr>
      <w:r>
        <w:rPr>
          <w:rFonts w:eastAsia="Book Antiqua"/>
        </w:rPr>
        <w:t xml:space="preserve"> </w:t>
      </w:r>
    </w:p>
    <w:p>
      <w:pPr>
        <w:pStyle w:val="Normal"/>
        <w:rPr/>
      </w:pPr>
      <w:r>
        <w:rPr/>
        <w:t>Suppliers should also have the flexibility to meet different parts of the customer’s load shape.  While a restricted form of this may be possible under the proposed arrangements it would require:</w:t>
      </w:r>
    </w:p>
    <w:p>
      <w:pPr>
        <w:pStyle w:val="Normal"/>
        <w:rPr/>
      </w:pPr>
      <w:r>
        <w:rPr/>
      </w:r>
    </w:p>
    <w:p>
      <w:pPr>
        <w:pStyle w:val="Normal"/>
        <w:numPr>
          <w:ilvl w:val="0"/>
          <w:numId w:val="12"/>
        </w:numPr>
        <w:rPr/>
      </w:pPr>
      <w:r>
        <w:rPr/>
        <w:t>Strict proportionality, which does not allow different suppliers to take on different risks at different times (eg, for one to supply a fixed volume and the other to supply the swing);</w:t>
      </w:r>
    </w:p>
    <w:p>
      <w:pPr>
        <w:pStyle w:val="Normal"/>
        <w:numPr>
          <w:ilvl w:val="0"/>
          <w:numId w:val="12"/>
        </w:numPr>
        <w:rPr/>
      </w:pPr>
      <w:r>
        <w:rPr/>
        <w:t xml:space="preserve">Separate suppliers to co-ordinate their actions, thereby significantly reducing the scope and likelihood of competition at that meter point.  </w:t>
      </w:r>
    </w:p>
    <w:p>
      <w:pPr>
        <w:pStyle w:val="Normal"/>
        <w:rPr/>
      </w:pPr>
      <w:r>
        <w:rPr/>
      </w:r>
    </w:p>
    <w:p>
      <w:pPr>
        <w:pStyle w:val="Normal"/>
        <w:rPr/>
      </w:pPr>
      <w:r>
        <w:rPr/>
        <w:t>This flexibility and competition is essential if suppliers are to meet customers’ requirements.  Moreover, there is no reason why generators, customers and suppliers should not be able to structure their own allocation arrangements in any way that they see fit.  Indeed many different forms of allocation exist now.  Stage 2 Settlement is effectively a large and complex allocation agreement between suppliers. The proposed new rules also give the parties using the French and Scottish interconnectors the freedom to allocate the meter flows over the interconnectors.  In an operational sense there is no distinction between a national border and a power station fence and hence participants in England and Wales should be granted similar flexibility to the interconnector users.  We also note that flexible allocation arrangements are available within the gas market.</w:t>
      </w:r>
    </w:p>
    <w:p>
      <w:pPr>
        <w:pStyle w:val="Normal"/>
        <w:rPr/>
      </w:pPr>
      <w:r>
        <w:rPr/>
      </w:r>
    </w:p>
    <w:p>
      <w:pPr>
        <w:pStyle w:val="Normal"/>
        <w:rPr/>
      </w:pPr>
      <w:r>
        <w:rPr/>
        <w:t>Meter splitting applies to particular meters at particular locations and hence should be distinguished from trades taking place on the system as a whole.  The contracts discussed in the NETA documents are effectively “system” or “Notional Balancing Point” contracts.  The distinction is significant in that the point at which title to the MWh is exchanged affects the parties’ relative responsibility for the costs of transmission.  Splitting a meter means that the parties taking portions of the meter read are responsible for the costs of transmission at that location, whereas exchanging power “on the system” via a contract volume notification means that the cost of delivery stays with the generator or the supply meter registrant.  Given the proposed evolution of transmission arrangements, it is essential to have the flexibility now to contract freely not just on the system, but at specific entry and exit points onto and off the system.</w:t>
      </w:r>
    </w:p>
    <w:p>
      <w:pPr>
        <w:pStyle w:val="Normal"/>
        <w:rPr/>
      </w:pPr>
      <w:r>
        <w:rPr/>
      </w:r>
    </w:p>
    <w:p>
      <w:pPr>
        <w:pStyle w:val="Normal"/>
        <w:rPr/>
      </w:pPr>
      <w:r>
        <w:rPr/>
        <w:t>We can see two potential arguments against allowing meter splitting (1) that it would require additional complication and (2) that it is tantamount to ex post trading.  However, neither of these arguments is valid for the following reasons:</w:t>
      </w:r>
    </w:p>
    <w:p>
      <w:pPr>
        <w:pStyle w:val="Normal"/>
        <w:rPr/>
      </w:pPr>
      <w:r>
        <w:rPr/>
      </w:r>
    </w:p>
    <w:p>
      <w:pPr>
        <w:pStyle w:val="Normal"/>
        <w:numPr>
          <w:ilvl w:val="0"/>
          <w:numId w:val="6"/>
        </w:numPr>
        <w:rPr/>
      </w:pPr>
      <w:r>
        <w:rPr/>
        <w:t>Meter splitting would not create additional complexity in settlement: participants would be responsible for any complex allocation rules with the resulting “splits” nominated directly to settlement via the Meter Registrant (or a Meter Allocation Agent if there proves a need to separate the roles).  Indeed settlement could be simplified by removing the functionality provided by the Credited Energy Percentage notifications.</w:t>
      </w:r>
    </w:p>
    <w:p>
      <w:pPr>
        <w:pStyle w:val="Normal"/>
        <w:numPr>
          <w:ilvl w:val="0"/>
          <w:numId w:val="6"/>
        </w:numPr>
        <w:rPr/>
      </w:pPr>
      <w:r>
        <w:rPr/>
        <w:t xml:space="preserve">Not only have we demonstrated conclusively above that ex post trading is more efficient, but the location-specific nature of meter splitting means that it is fundamentally different to ex post trading of system or NBP contracts.  We would therefore expect its use to be confined to the reallocation of entitlements at particular locations as described above. </w:t>
      </w:r>
    </w:p>
    <w:p>
      <w:pPr>
        <w:pStyle w:val="Normal"/>
        <w:rPr/>
      </w:pPr>
      <w:r>
        <w:rPr/>
      </w:r>
    </w:p>
    <w:p>
      <w:pPr>
        <w:pStyle w:val="Normal"/>
        <w:rPr/>
      </w:pPr>
      <w:r>
        <w:rPr/>
        <w:t>Given the large benefits of allowing meter splitting and the absence of any arguments against it, we therefore recommend that market participants should be free to allocate meter reads in any way that they see fit.</w:t>
      </w:r>
    </w:p>
    <w:p>
      <w:pPr>
        <w:pStyle w:val="Normal"/>
        <w:rPr/>
      </w:pPr>
      <w:r>
        <w:rPr/>
      </w:r>
    </w:p>
    <w:p>
      <w:pPr>
        <w:pStyle w:val="Heading2"/>
        <w:ind w:hanging="0" w:start="0"/>
        <w:rPr/>
      </w:pPr>
      <w:r>
        <w:rPr/>
        <w:t>Summary: OFGEM and the DTI do not have a single valid reason for restrictions on aggregation, contract notification and meter splitting</w:t>
      </w:r>
    </w:p>
    <w:p>
      <w:pPr>
        <w:pStyle w:val="Normal"/>
        <w:rPr/>
      </w:pPr>
      <w:r>
        <w:rPr/>
      </w:r>
    </w:p>
    <w:p>
      <w:pPr>
        <w:pStyle w:val="Normal"/>
        <w:rPr/>
      </w:pPr>
      <w:r>
        <w:rPr/>
        <w:t>Removing the restrictions on aggregation, ex ante notification and meter splitting offers significant benefits in efficient risk management and substantially reduced implementation costs.  Moreover, as we have demonstrated clearly above, none the arguments advanced for the restrictions are sustainable.  In the absence of convincing and potentially correct arguments for the restrictions, we must therefore conclude that there is no case for continuing with the restrictions.  We would therefore strongly urge the DTI and OFGEM to remove these restrictions in the final NETA proposals.</w:t>
      </w:r>
    </w:p>
    <w:p>
      <w:pPr>
        <w:pStyle w:val="Normal"/>
        <w:rPr>
          <w:rFonts w:eastAsia="Book Antiqua"/>
        </w:rPr>
      </w:pPr>
      <w:r>
        <w:rPr>
          <w:rFonts w:eastAsia="Book Antiqua"/>
        </w:rPr>
        <w:t xml:space="preserve"> </w:t>
      </w:r>
    </w:p>
    <w:p>
      <w:pPr>
        <w:pStyle w:val="Heading1"/>
        <w:ind w:hanging="0" w:start="0"/>
        <w:rPr/>
      </w:pPr>
      <w:r>
        <w:rPr/>
        <w:t>Response to Other Issues Raised in the Consultation</w:t>
      </w:r>
    </w:p>
    <w:p>
      <w:pPr>
        <w:pStyle w:val="Heading2"/>
        <w:ind w:hanging="0" w:start="0"/>
        <w:rPr/>
      </w:pPr>
      <w:r>
        <w:rPr/>
        <w:t>Cash-out pricing</w:t>
      </w:r>
    </w:p>
    <w:p>
      <w:pPr>
        <w:pStyle w:val="Normal"/>
        <w:rPr/>
      </w:pPr>
      <w:r>
        <w:rPr/>
      </w:r>
    </w:p>
    <w:p>
      <w:pPr>
        <w:pStyle w:val="Normal"/>
        <w:rPr/>
      </w:pPr>
      <w:r>
        <w:rPr/>
        <w:t xml:space="preserve">We would question the presumption that a dual cash-out price is </w:t>
      </w:r>
      <w:r>
        <w:rPr>
          <w:i/>
        </w:rPr>
        <w:t xml:space="preserve">required </w:t>
      </w:r>
      <w:r>
        <w:rPr/>
        <w:t xml:space="preserve">to provide market participants with incentives to balance their position by gate closure. As discussed in the contract notification section above, we would expect most imbalances arising after gate closure to be uncontrollable (due to weather and temperature variation etc).  In these circumstances dual pricing merely penalises people twice and has no additional incentive effect.  Moreover, in those cases where people can control their outputs, the risks associated with a highly volatile </w:t>
      </w:r>
      <w:r>
        <w:rPr>
          <w:i/>
        </w:rPr>
        <w:t>single</w:t>
      </w:r>
      <w:r>
        <w:rPr/>
        <w:t xml:space="preserve"> cash-out price are likely to give as effective an incentive to balance as dual cash-out pricing.</w:t>
      </w:r>
    </w:p>
    <w:p>
      <w:pPr>
        <w:pStyle w:val="Normal"/>
        <w:rPr/>
      </w:pPr>
      <w:r>
        <w:rPr/>
      </w:r>
    </w:p>
    <w:p>
      <w:pPr>
        <w:pStyle w:val="Normal"/>
        <w:rPr/>
      </w:pPr>
      <w:r>
        <w:rPr/>
        <w:t>Assuming pay-as-bid in the balancing mechanism, this single cash-out price should be based on the weighted average of the bids and offers accepted by the system operator in balancing the system (in addition to the non-delivery charge envisaged in the proposals). Actions taken to resolve transmission constraints (or an estimate or proxy for those actions) should be removed where possible.  This was the broadly the Programme’s proposal before many of the recent mutations of the cash-out pricing regime.  The proposal combines simplicity and cost reflectivity by allowing participants to hedge offsetting imbalances without the burden of a dual penalty.  (We are, however, assuming here that alternative forms of cash-out pricing, including the use of a single marginal price, will not be considered at all.)</w:t>
      </w:r>
    </w:p>
    <w:p>
      <w:pPr>
        <w:pStyle w:val="Heading2"/>
        <w:ind w:hanging="0" w:start="0"/>
        <w:rPr/>
      </w:pPr>
      <w:r>
        <w:rPr/>
        <w:t>Legal and regulatory framework – the role of aggregators</w:t>
      </w:r>
    </w:p>
    <w:p>
      <w:pPr>
        <w:pStyle w:val="Normal"/>
        <w:rPr/>
      </w:pPr>
      <w:r>
        <w:rPr/>
      </w:r>
    </w:p>
    <w:p>
      <w:pPr>
        <w:pStyle w:val="Normal"/>
        <w:rPr/>
      </w:pPr>
      <w:r>
        <w:rPr/>
        <w:t>There appears to be some confusion in the document between the obligations attaching to a meter registrant and the person actually performing those obligations.  In particular, it should be possible for a BSC signatory to be able to fulfil their requirements under their licence and under the code by appointing a third-party agent to undertake those functions for them.  For example, although the obligations relating to a meter registered with the BSC rest with the signatory they should have the flexibility to appoint an agent who interfaces with the BSC on their behalf for both balancing mechanism bids and settlement.  Similar agency arrangements seem possible under the current legislative framework and hence we have trouble seeing why this need create problems for an aggregator under the new arrangements (and, in particular, why this implies that an aggregator may need to be licensed).  For example:</w:t>
      </w:r>
    </w:p>
    <w:p>
      <w:pPr>
        <w:pStyle w:val="Normal"/>
        <w:rPr/>
      </w:pPr>
      <w:r>
        <w:rPr/>
      </w:r>
    </w:p>
    <w:p>
      <w:pPr>
        <w:pStyle w:val="Normal"/>
        <w:numPr>
          <w:ilvl w:val="0"/>
          <w:numId w:val="8"/>
        </w:numPr>
        <w:rPr/>
      </w:pPr>
      <w:r>
        <w:rPr/>
        <w:t>National Power will fulfil Midland’s first-tier licence obligations under agency arrangements;</w:t>
      </w:r>
    </w:p>
    <w:p>
      <w:pPr>
        <w:pStyle w:val="Normal"/>
        <w:numPr>
          <w:ilvl w:val="0"/>
          <w:numId w:val="8"/>
        </w:numPr>
        <w:rPr/>
      </w:pPr>
      <w:r>
        <w:rPr/>
        <w:t>Third-parties bid in power stations, eg, Enron Power Operations Ltd (an unlicensed entity) effectively bids in the generating plant for Teesside Power Limited (a licensed entity);</w:t>
      </w:r>
    </w:p>
    <w:p>
      <w:pPr>
        <w:pStyle w:val="Normal"/>
        <w:numPr>
          <w:ilvl w:val="0"/>
          <w:numId w:val="8"/>
        </w:numPr>
        <w:rPr/>
      </w:pPr>
      <w:r>
        <w:rPr/>
        <w:t>Energy Supplies UK (an unlicensed entity) acts an electricity supplier for designated consumers as agent for Enron Direct Limited (a licensed supplier) who remains responsible for fulfilling all the relevant licence obligations and Pool settlement;</w:t>
      </w:r>
    </w:p>
    <w:p>
      <w:pPr>
        <w:pStyle w:val="Normal"/>
        <w:rPr/>
      </w:pPr>
      <w:r>
        <w:rPr/>
      </w:r>
    </w:p>
    <w:p>
      <w:pPr>
        <w:pStyle w:val="Normal"/>
        <w:rPr/>
      </w:pPr>
      <w:r>
        <w:rPr/>
        <w:t>Hence a variety of agency arrangements are possible within a current legal and regulatory framework while not compromising the relevant obligations of the licensed party.  We would expect similar flexibility to continue in future.</w:t>
      </w:r>
    </w:p>
    <w:p>
      <w:pPr>
        <w:pStyle w:val="Heading2"/>
        <w:ind w:hanging="0" w:start="0"/>
        <w:rPr/>
      </w:pPr>
      <w:r>
        <w:rPr/>
        <w:t>Credit and security cover</w:t>
      </w:r>
    </w:p>
    <w:p>
      <w:pPr>
        <w:pStyle w:val="Normal"/>
        <w:rPr>
          <w:u w:val="single"/>
        </w:rPr>
      </w:pPr>
      <w:r>
        <w:rPr>
          <w:u w:val="single"/>
        </w:rPr>
      </w:r>
    </w:p>
    <w:p>
      <w:pPr>
        <w:pStyle w:val="Normal"/>
        <w:rPr/>
      </w:pPr>
      <w:r>
        <w:rPr/>
        <w:t>One of the main aims of a bilaterally settled market is that responsibility for managing credit risks devolves to market participants rather than being determined for everyone centrally.  Individual market participants can then choose how to manage their credit exposures in the most efficient way possible.  The NETA proposals on this topic completely cut against this by basing credit cover on worst possible case assumptions.  The Programme should therefore consider developing these arrangements to ensure that credit cover is more reasonably linked to their expected daily settlement exposure.  To assist in this, the Programme might want to consider the arrangements in place for other commodity markets.</w:t>
      </w:r>
    </w:p>
    <w:p>
      <w:pPr>
        <w:pStyle w:val="Heading2"/>
        <w:ind w:hanging="0" w:start="0"/>
        <w:rPr/>
      </w:pPr>
      <w:r>
        <w:rPr/>
        <w:t>Governance</w:t>
      </w:r>
    </w:p>
    <w:p>
      <w:pPr>
        <w:pStyle w:val="Normal"/>
        <w:keepNext w:val="true"/>
        <w:rPr/>
      </w:pPr>
      <w:r>
        <w:rPr/>
      </w:r>
    </w:p>
    <w:p>
      <w:pPr>
        <w:pStyle w:val="Normal"/>
        <w:rPr/>
      </w:pPr>
      <w:r>
        <w:rPr/>
        <w:t>The new governance arrangements for the Balancing and Settlement Code must be structured to represent the interests of all interested parties.  However, in compulsory arrangements, the regulator also inevitably needs to play a role.  Balancing the requirements of the many different stakeholders for the BSC is the key to successful governance.</w:t>
      </w:r>
    </w:p>
    <w:p>
      <w:pPr>
        <w:pStyle w:val="Normal"/>
        <w:rPr/>
      </w:pPr>
      <w:r>
        <w:rPr/>
      </w:r>
    </w:p>
    <w:p>
      <w:pPr>
        <w:pStyle w:val="Normal"/>
        <w:rPr/>
      </w:pPr>
      <w:r>
        <w:rPr/>
        <w:t xml:space="preserve">In this regard it is useful to note that procedural checks and balances on the Panel, Regulator and stakeholders (including customers) will be as important as the precise identity or composition of each decision making or executive body.  In this respect, we welcome the proposals to set down clear objectives for assessing proposed developments to the BSC code.  These objectives should be supplemented by clear rules for changing the Code.  Those rules should include clear timescales for consulting and deciding on proposed modifications.  Those rules would apply equally to the Regulator so that market participants have a clear understanding of, and opportunity to contribute to, the </w:t>
      </w:r>
      <w:r>
        <w:rPr>
          <w:u w:val="single"/>
        </w:rPr>
        <w:t>entire</w:t>
      </w:r>
      <w:r>
        <w:rPr/>
        <w:t xml:space="preserve"> rule modification process.</w:t>
      </w:r>
    </w:p>
    <w:p>
      <w:pPr>
        <w:pStyle w:val="Normal"/>
        <w:rPr>
          <w:rFonts w:eastAsia="Book Antiqua"/>
        </w:rPr>
      </w:pPr>
      <w:r>
        <w:rPr>
          <w:rFonts w:eastAsia="Book Antiqua"/>
        </w:rPr>
        <w:t xml:space="preserve"> </w:t>
      </w:r>
    </w:p>
    <w:p>
      <w:pPr>
        <w:pStyle w:val="Normal"/>
        <w:rPr/>
      </w:pPr>
      <w:r>
        <w:rPr/>
        <w:t>We agree with the proposal that all stakeholders – including customers - should have the opportunity to raise modifications to the code.  We also believe that the Modifications Panel should take a proactive role in weighing evidence and producing recommendations rather than just managing the modification process at arm's length.  Industry expertise that results in fair and informed decisions is therefore the key qualification for participating in the Modification Panel.  In this respect both Option 1 and Option 2 have significant merits – any representative panel risks capture by individual interest groups, but an independent panel risks capture by the Regulator and/or may lack key expertise.  On balance, and subject to appropriate election rules, we would favour Option 1 (a representative industry Panel).</w:t>
      </w:r>
    </w:p>
    <w:p>
      <w:pPr>
        <w:pStyle w:val="Heading2"/>
        <w:ind w:hanging="0" w:start="0"/>
        <w:rPr/>
      </w:pPr>
      <w:r>
        <w:rPr/>
        <w:t>Balancing service contracts</w:t>
      </w:r>
    </w:p>
    <w:p>
      <w:pPr>
        <w:pStyle w:val="Normal"/>
        <w:rPr/>
      </w:pPr>
      <w:r>
        <w:rPr/>
      </w:r>
    </w:p>
    <w:p>
      <w:pPr>
        <w:pStyle w:val="Normal"/>
        <w:rPr/>
      </w:pPr>
      <w:r>
        <w:rPr>
          <w:color w:val="000000"/>
          <w:lang w:eastAsia="en-US"/>
        </w:rPr>
        <w:t xml:space="preserve">The NETA proposals are designed to provide strong incentives for market participants to have balanced positions.  Where those positions are not balanced the proposals allow NGC to call on offers and bids to balance the system.  In short, the market arrangements already deal adequately with maintaining system balance for MWh at the very least before gate closure.  It follows that NGC does not need to procure any energy-related products, including options on MWh, before gate closure.  If NGC were to procure reserves in advance of gate closure this would completely undermine the advance energy market and the market for “self insurance” by market participants (ie, buying capacity options to hedge against potentially very high prices for covering shortfalls). To the extent that market participants discount the quantity of reserve bought in advance from their calculations for the system as a whole, such a proposal would be unlikely to have any benefit in terms of system security.  Granting NGC the ability to instruct units well in advance of gate closure would involve NGC second-guessing the market’s response.  This moves us entirely away from a market-based solution to system balancing.  </w:t>
      </w:r>
      <w:r>
        <w:rPr>
          <w:b/>
          <w:color w:val="000000"/>
          <w:lang w:eastAsia="en-US"/>
        </w:rPr>
        <w:t>If there is one proposal that significantly undermines the potential liquidity of short-term energy markets, then this is it.</w:t>
      </w:r>
    </w:p>
    <w:p>
      <w:pPr>
        <w:pStyle w:val="Normal"/>
        <w:rPr>
          <w:b/>
          <w:color w:val="000000"/>
          <w:lang w:eastAsia="en-US"/>
        </w:rPr>
      </w:pPr>
      <w:r>
        <w:rPr>
          <w:b/>
          <w:color w:val="000000"/>
          <w:lang w:eastAsia="en-US"/>
        </w:rPr>
      </w:r>
    </w:p>
    <w:p>
      <w:pPr>
        <w:pStyle w:val="Normal"/>
        <w:rPr/>
      </w:pPr>
      <w:r>
        <w:rPr/>
        <w:t xml:space="preserve">NGC’s procurement should be limited to products </w:t>
      </w:r>
      <w:r>
        <w:rPr>
          <w:i/>
        </w:rPr>
        <w:t xml:space="preserve">ancillary </w:t>
      </w:r>
      <w:r>
        <w:rPr/>
        <w:t>to the delivery of MWh and should be limited to the minimum required to achieve system balance, eg, short-term operational reserves, frequency control, reactive support etc.  The energy associated with those products should be paid for via the balancing and settlement arrangements with any additional payments handled through the ancillary service contract itself.  Where possible there should be ongoing competition from market participants to provide</w:t>
      </w:r>
      <w:r>
        <w:rPr>
          <w:i/>
        </w:rPr>
        <w:t xml:space="preserve"> </w:t>
      </w:r>
      <w:r>
        <w:rPr/>
        <w:t>these services to NGC.</w:t>
      </w:r>
    </w:p>
    <w:p>
      <w:pPr>
        <w:pStyle w:val="Heading2"/>
        <w:ind w:hanging="0" w:start="0"/>
        <w:rPr/>
      </w:pPr>
      <w:r>
        <w:rPr/>
        <w:t>Definition for Demand Capacities</w:t>
      </w:r>
    </w:p>
    <w:p>
      <w:pPr>
        <w:pStyle w:val="Normal"/>
        <w:rPr>
          <w:color w:val="000000"/>
          <w:lang w:eastAsia="en-US"/>
        </w:rPr>
      </w:pPr>
      <w:r>
        <w:rPr>
          <w:color w:val="000000"/>
          <w:lang w:eastAsia="en-US"/>
        </w:rPr>
      </w:r>
    </w:p>
    <w:p>
      <w:pPr>
        <w:pStyle w:val="Normal"/>
        <w:rPr>
          <w:color w:val="000000"/>
          <w:lang w:eastAsia="en-US"/>
        </w:rPr>
      </w:pPr>
      <w:r>
        <w:rPr>
          <w:color w:val="000000"/>
          <w:lang w:eastAsia="en-US"/>
        </w:rPr>
        <w:t>Any historic measure of demand capacity discriminates unduly against those suppliers actively competing and growing their business.  With historic measures of capacity, an expanding supplier will, at any one time, be deemed to have less demand capacity than represented by their current customer base.  The flip side of this is that suppliers who are losing market share will have too much capacity.  Demand capacity should therefore be based on a current or forward-looking measure.</w:t>
      </w:r>
    </w:p>
    <w:p>
      <w:pPr>
        <w:pStyle w:val="Normal"/>
        <w:rPr>
          <w:b/>
          <w:color w:val="000000"/>
          <w:lang w:eastAsia="en-US"/>
        </w:rPr>
      </w:pPr>
      <w:r>
        <w:rPr>
          <w:b/>
          <w:color w:val="000000"/>
          <w:lang w:eastAsia="en-US"/>
        </w:rPr>
      </w:r>
    </w:p>
    <w:p>
      <w:pPr>
        <w:pStyle w:val="Heading2"/>
        <w:ind w:hanging="0" w:start="0"/>
        <w:rPr/>
      </w:pPr>
      <w:r>
        <w:rPr/>
        <w:t>Dealing with distribution and transmission network failures</w:t>
      </w:r>
    </w:p>
    <w:p>
      <w:pPr>
        <w:pStyle w:val="Normal"/>
        <w:rPr>
          <w:color w:val="000000"/>
          <w:lang w:eastAsia="en-US"/>
        </w:rPr>
      </w:pPr>
      <w:r>
        <w:rPr>
          <w:color w:val="000000"/>
          <w:lang w:eastAsia="en-US"/>
        </w:rPr>
      </w:r>
    </w:p>
    <w:p>
      <w:pPr>
        <w:pStyle w:val="Normal"/>
        <w:rPr>
          <w:lang w:eastAsia="en-US"/>
        </w:rPr>
      </w:pPr>
      <w:r>
        <w:rPr>
          <w:lang w:eastAsia="en-US"/>
        </w:rPr>
        <w:t>In practical terms, network failures should be accompanied by deemed acceptances of participants’ offers and bids (deemed or actual) to supply (or buy back) their entire output back to (or from) the system.  In this way, market participants can be kept whole without being exposed to cash-out prices for being long or short. OFGEM needs to work further, however, to ensure that the cost of meeting these deemed acceptances is passed directly back to the network operator responsible rather than being borne by market participants more widely.  In this way, network operators can be provided with strong incentives to maintain the availability and reliability of their networks.</w:t>
      </w:r>
    </w:p>
    <w:sectPr>
      <w:headerReference w:type="default" r:id="rId4"/>
      <w:headerReference w:type="first" r:id="rId5"/>
      <w:footerReference w:type="default" r:id="rId6"/>
      <w:footerReference w:type="first" r:id="rId7"/>
      <w:footnotePr>
        <w:numFmt w:val="decimal"/>
      </w:footnotePr>
      <w:type w:val="nextPage"/>
      <w:pgSz w:w="11906" w:h="16838"/>
      <w:pgMar w:left="1134" w:right="1134" w:gutter="0" w:header="624" w:top="907" w:footer="624"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Style w:val="PageNumber"/>
        <w:b w:val="false"/>
        <w:sz w:val="10"/>
      </w:rPr>
    </w:pPr>
    <w:r>
      <w:rPr/>
    </w:r>
  </w:p>
  <w:p>
    <w:pPr>
      <w:pStyle w:val="Footer"/>
      <w:jc w:val="center"/>
      <w:rPr>
        <w:rStyle w:val="PageNumber"/>
        <w:b w:val="false"/>
        <w:sz w:val="16"/>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Style w:val="PageNumber"/>
        <w:b w:val="false"/>
        <w:sz w:val="10"/>
      </w:rPr>
    </w:pPr>
    <w:r>
      <w:rPr/>
    </w:r>
  </w:p>
  <w:p>
    <w:pPr>
      <w:pStyle w:val="Footer"/>
      <w:jc w:val="center"/>
      <w:rPr>
        <w:rStyle w:val="PageNumber"/>
        <w:b w:val="false"/>
        <w:sz w:val="16"/>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Page 57, “The New Electricity Trading Arrangements: Volume 1”, OFGEM, July 1999</w:t>
      </w:r>
    </w:p>
  </w:footnote>
  <w:footnote w:id="3">
    <w:p>
      <w:pPr>
        <w:pStyle w:val="FootnoteText"/>
        <w:rPr/>
      </w:pPr>
      <w:r>
        <w:rPr>
          <w:rStyle w:val="FootnoteCharacters"/>
        </w:rPr>
        <w:footnoteRef/>
      </w:r>
      <w:r>
        <w:rPr/>
        <w:t xml:space="preserve"> </w:t>
      </w:r>
      <w:r>
        <w:rPr/>
        <w:t>Metered volume trades or other option contracts could be concluded in advance for imbalances arising after gate closure.  However, since the volume actually traded under such contracts is not known in advance, this would not result in any additional volumes being traded either with or without aggregation.</w:t>
      </w:r>
    </w:p>
  </w:footnote>
  <w:footnote w:id="4">
    <w:p>
      <w:pPr>
        <w:pStyle w:val="FootnoteText"/>
        <w:rPr/>
      </w:pPr>
      <w:r>
        <w:rPr>
          <w:rStyle w:val="FootnoteCharacters"/>
        </w:rPr>
        <w:footnoteRef/>
      </w:r>
      <w:r>
        <w:rPr/>
        <w:t xml:space="preserve"> </w:t>
      </w:r>
      <w:r>
        <w:rPr/>
        <w:t>Op cit., Paragraph 2, Page 56.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560705" cy="55753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39" t="-39" r="-39" b="-39"/>
                  <a:stretch>
                    <a:fillRect/>
                  </a:stretch>
                </pic:blipFill>
                <pic:spPr bwMode="auto">
                  <a:xfrm>
                    <a:off x="0" y="0"/>
                    <a:ext cx="560705" cy="557530"/>
                  </a:xfrm>
                  <a:prstGeom prst="rect">
                    <a:avLst/>
                  </a:prstGeom>
                  <a:noFill/>
                </pic:spPr>
              </pic:pic>
            </a:graphicData>
          </a:graphic>
        </wp:inline>
      </w:drawing>
    </w:r>
  </w:p>
  <w:p>
    <w:pPr>
      <w:pStyle w:val="Header"/>
      <w:rPr>
        <w:sz w:val="12"/>
      </w:rPr>
    </w:pPr>
    <w:r>
      <w:rPr>
        <w:sz w:val="12"/>
      </w:rPr>
    </w:r>
  </w:p>
  <w:p>
    <w:pPr>
      <w:pStyle w:val="Header"/>
      <w:pBdr>
        <w:top w:val="single" w:sz="4" w:space="1" w:color="000000"/>
      </w:pBd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560705" cy="55753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9" t="-39" r="-39" b="-39"/>
                  <a:stretch>
                    <a:fillRect/>
                  </a:stretch>
                </pic:blipFill>
                <pic:spPr bwMode="auto">
                  <a:xfrm>
                    <a:off x="0" y="0"/>
                    <a:ext cx="560705" cy="557530"/>
                  </a:xfrm>
                  <a:prstGeom prst="rect">
                    <a:avLst/>
                  </a:prstGeom>
                  <a:noFill/>
                </pic:spPr>
              </pic:pic>
            </a:graphicData>
          </a:graphic>
        </wp:inline>
      </w:drawing>
    </w:r>
  </w:p>
  <w:p>
    <w:pPr>
      <w:pStyle w:val="Header"/>
      <w:rPr>
        <w:sz w:val="12"/>
      </w:rPr>
    </w:pPr>
    <w:r>
      <w:rPr>
        <w:sz w:val="12"/>
      </w:rPr>
    </w:r>
  </w:p>
  <w:p>
    <w:pPr>
      <w:pStyle w:val="Header"/>
      <w:pBdr>
        <w:top w:val="single" w:sz="4" w:space="1" w:color="000000"/>
      </w:pBdr>
      <w:rPr>
        <w:sz w:val="16"/>
      </w:rPr>
    </w:pPr>
    <w:r>
      <w:rPr>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decimal"/>
      <w:lvlText w:val="%1"/>
      <w:lvlJc w:val="start"/>
      <w:pPr>
        <w:tabs>
          <w:tab w:val="num" w:pos="432"/>
        </w:tabs>
        <w:ind w:start="432" w:hanging="432"/>
      </w:pPr>
    </w:lvl>
    <w:lvl w:ilvl="1">
      <w:start w:val="1"/>
      <w:pStyle w:val="Heading2"/>
      <w:isLgl/>
      <w:numFmt w:val="decimal"/>
      <w:lvlText w:val="%1.%2"/>
      <w:lvlJc w:val="start"/>
      <w:pPr>
        <w:tabs>
          <w:tab w:val="num" w:pos="576"/>
        </w:tabs>
        <w:ind w:start="576" w:hanging="576"/>
      </w:pPr>
      <w:rPr>
        <w:sz w:val="26"/>
        <w:i w:val="false"/>
        <w:b/>
        <w:rFonts w:ascii="Book Antiqua" w:hAnsi="Book Antiqua" w:cs="Book Antiqua"/>
      </w:rPr>
    </w:lvl>
    <w:lvl w:ilvl="2">
      <w:start w:val="1"/>
      <w:pStyle w:val="Heading3"/>
      <w:isLgl/>
      <w:numFmt w:val="decimal"/>
      <w:lvlText w:val="%1.%2.%3"/>
      <w:lvlJc w:val="start"/>
      <w:pPr>
        <w:tabs>
          <w:tab w:val="num" w:pos="720"/>
        </w:tabs>
        <w:ind w:start="720" w:hanging="720"/>
      </w:pPr>
      <w:rPr>
        <w:sz w:val="24"/>
      </w:rPr>
    </w:lvl>
    <w:lvl w:ilvl="3">
      <w:start w:val="1"/>
      <w:pStyle w:val="Heading4"/>
      <w:isLgl/>
      <w:numFmt w:val="decimal"/>
      <w:lvlText w:val="%1.%2.%3.%4"/>
      <w:lvlJc w:val="start"/>
      <w:pPr>
        <w:tabs>
          <w:tab w:val="num" w:pos="1080"/>
        </w:tabs>
        <w:ind w:start="864" w:hanging="864"/>
      </w:pPr>
    </w:lvl>
    <w:lvl w:ilvl="4">
      <w:start w:val="1"/>
      <w:pStyle w:val="Heading5"/>
      <w:isLgl/>
      <w:numFmt w:val="decimal"/>
      <w:lvlText w:val="%1.%2.%3.%4.%5"/>
      <w:lvlJc w:val="start"/>
      <w:pPr>
        <w:tabs>
          <w:tab w:val="num" w:pos="1440"/>
        </w:tabs>
        <w:ind w:start="1008" w:hanging="1008"/>
      </w:pPr>
    </w:lvl>
    <w:lvl w:ilvl="5">
      <w:start w:val="1"/>
      <w:pStyle w:val="Heading6"/>
      <w:numFmt w:val="decimal"/>
      <w:lvlText w:val="%1.%2.%3.%4.%5.%6"/>
      <w:lvlJc w:val="start"/>
      <w:pPr>
        <w:tabs>
          <w:tab w:val="num" w:pos="1800"/>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2"/>
      <w:numFmt w:val="decimal"/>
      <w:lvlText w:val="%1"/>
      <w:lvlJc w:val="start"/>
      <w:pPr>
        <w:tabs>
          <w:tab w:val="num" w:pos="450"/>
        </w:tabs>
        <w:ind w:start="450" w:hanging="450"/>
      </w:pPr>
      <w:rPr>
        <w:i/>
      </w:rPr>
    </w:lvl>
    <w:lvl w:ilvl="1">
      <w:start w:val="1"/>
      <w:numFmt w:val="decimal"/>
      <w:lvlText w:val="%1.%2"/>
      <w:lvlJc w:val="start"/>
      <w:pPr>
        <w:tabs>
          <w:tab w:val="num" w:pos="450"/>
        </w:tabs>
        <w:ind w:start="450" w:hanging="450"/>
      </w:pPr>
      <w:rPr>
        <w:i/>
      </w:rPr>
    </w:lvl>
    <w:lvl w:ilvl="2">
      <w:start w:val="3"/>
      <w:numFmt w:val="decimal"/>
      <w:lvlText w:val="%1.%2.%3"/>
      <w:lvlJc w:val="start"/>
      <w:pPr>
        <w:tabs>
          <w:tab w:val="num" w:pos="720"/>
        </w:tabs>
        <w:ind w:start="720" w:hanging="720"/>
      </w:pPr>
      <w:rPr>
        <w:i/>
      </w:rPr>
    </w:lvl>
    <w:lvl w:ilvl="3">
      <w:start w:val="1"/>
      <w:numFmt w:val="decimal"/>
      <w:lvlText w:val="%1.%2.%3.%4"/>
      <w:lvlJc w:val="start"/>
      <w:pPr>
        <w:tabs>
          <w:tab w:val="num" w:pos="720"/>
        </w:tabs>
        <w:ind w:start="720" w:hanging="720"/>
      </w:pPr>
      <w:rPr>
        <w:i/>
      </w:rPr>
    </w:lvl>
    <w:lvl w:ilvl="4">
      <w:start w:val="1"/>
      <w:numFmt w:val="decimal"/>
      <w:lvlText w:val="%1.%2.%3.%4.%5"/>
      <w:lvlJc w:val="start"/>
      <w:pPr>
        <w:tabs>
          <w:tab w:val="num" w:pos="1080"/>
        </w:tabs>
        <w:ind w:start="1080" w:hanging="1080"/>
      </w:pPr>
      <w:rPr>
        <w:i/>
      </w:rPr>
    </w:lvl>
    <w:lvl w:ilvl="5">
      <w:start w:val="1"/>
      <w:numFmt w:val="decimal"/>
      <w:lvlText w:val="%1.%2.%3.%4.%5.%6"/>
      <w:lvlJc w:val="start"/>
      <w:pPr>
        <w:tabs>
          <w:tab w:val="num" w:pos="1440"/>
        </w:tabs>
        <w:ind w:start="1440" w:hanging="1440"/>
      </w:pPr>
      <w:rPr>
        <w:i/>
      </w:rPr>
    </w:lvl>
    <w:lvl w:ilvl="6">
      <w:start w:val="1"/>
      <w:numFmt w:val="decimal"/>
      <w:lvlText w:val="%1.%2.%3.%4.%5.%6.%7"/>
      <w:lvlJc w:val="start"/>
      <w:pPr>
        <w:tabs>
          <w:tab w:val="num" w:pos="1440"/>
        </w:tabs>
        <w:ind w:start="1440" w:hanging="1440"/>
      </w:pPr>
      <w:rPr>
        <w:i/>
      </w:rPr>
    </w:lvl>
    <w:lvl w:ilvl="7">
      <w:start w:val="1"/>
      <w:numFmt w:val="decimal"/>
      <w:lvlText w:val="%1.%2.%3.%4.%5.%6.%7.%8"/>
      <w:lvlJc w:val="start"/>
      <w:pPr>
        <w:tabs>
          <w:tab w:val="num" w:pos="1800"/>
        </w:tabs>
        <w:ind w:start="1800" w:hanging="1800"/>
      </w:pPr>
      <w:rPr>
        <w:i/>
      </w:rPr>
    </w:lvl>
    <w:lvl w:ilvl="8">
      <w:start w:val="1"/>
      <w:numFmt w:val="decimal"/>
      <w:lvlText w:val="%1.%2.%3.%4.%5.%6.%7.%8.%9"/>
      <w:lvlJc w:val="start"/>
      <w:pPr>
        <w:tabs>
          <w:tab w:val="num" w:pos="1800"/>
        </w:tabs>
        <w:ind w:start="1800" w:hanging="1800"/>
      </w:pPr>
      <w:rPr>
        <w:i/>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4"/>
      <w:jc w:val="both"/>
    </w:pPr>
    <w:rPr>
      <w:rFonts w:ascii="Book Antiqua" w:hAnsi="Book Antiqua" w:eastAsia="Times New Roman" w:cs="Book Antiqua"/>
      <w:color w:val="auto"/>
      <w:sz w:val="22"/>
      <w:szCs w:val="20"/>
      <w:lang w:val="en-GB" w:eastAsia="zh-CN" w:bidi="hi-IN"/>
    </w:rPr>
  </w:style>
  <w:style w:type="paragraph" w:styleId="Heading1">
    <w:name w:val="heading 1"/>
    <w:basedOn w:val="Normal"/>
    <w:next w:val="Normal"/>
    <w:qFormat/>
    <w:pPr>
      <w:keepNext w:val="true"/>
      <w:numPr>
        <w:ilvl w:val="0"/>
        <w:numId w:val="1"/>
      </w:numPr>
      <w:spacing w:lineRule="atLeast" w:line="271" w:before="240" w:after="60"/>
      <w:outlineLvl w:val="0"/>
    </w:pPr>
    <w:rPr>
      <w:b/>
      <w:smallCaps/>
      <w:sz w:val="28"/>
    </w:rPr>
  </w:style>
  <w:style w:type="paragraph" w:styleId="Heading2">
    <w:name w:val="heading 2"/>
    <w:basedOn w:val="Normal"/>
    <w:next w:val="Normal"/>
    <w:qFormat/>
    <w:pPr>
      <w:keepNext w:val="true"/>
      <w:numPr>
        <w:ilvl w:val="1"/>
        <w:numId w:val="1"/>
      </w:numPr>
      <w:tabs>
        <w:tab w:val="left" w:pos="720" w:leader="none"/>
      </w:tabs>
      <w:spacing w:lineRule="atLeast" w:line="271" w:before="240" w:after="60"/>
      <w:outlineLvl w:val="1"/>
    </w:pPr>
    <w:rPr>
      <w:b/>
      <w:sz w:val="26"/>
    </w:rPr>
  </w:style>
  <w:style w:type="paragraph" w:styleId="Heading3">
    <w:name w:val="heading 3"/>
    <w:basedOn w:val="Heading2"/>
    <w:next w:val="Normal"/>
    <w:qFormat/>
    <w:pPr>
      <w:numPr>
        <w:ilvl w:val="2"/>
        <w:numId w:val="1"/>
      </w:numPr>
      <w:outlineLvl w:val="2"/>
    </w:pPr>
    <w:rPr>
      <w:sz w:val="24"/>
    </w:rPr>
  </w:style>
  <w:style w:type="paragraph" w:styleId="Heading4">
    <w:name w:val="heading 4"/>
    <w:basedOn w:val="Normal"/>
    <w:next w:val="Normal"/>
    <w:qFormat/>
    <w:pPr>
      <w:keepNext w:val="true"/>
      <w:numPr>
        <w:ilvl w:val="3"/>
        <w:numId w:val="1"/>
      </w:numPr>
      <w:spacing w:lineRule="atLeast" w:line="271" w:before="240" w:after="60"/>
      <w:outlineLvl w:val="3"/>
    </w:pPr>
    <w:rPr>
      <w:rFonts w:ascii="Book Antiqua" w:hAnsi="Book Antiqua" w:cs="Book Antiqua"/>
      <w:b/>
      <w:sz w:val="24"/>
    </w:rPr>
  </w:style>
  <w:style w:type="paragraph" w:styleId="Heading5">
    <w:name w:val="heading 5"/>
    <w:basedOn w:val="Normal"/>
    <w:next w:val="Normal"/>
    <w:qFormat/>
    <w:pPr>
      <w:numPr>
        <w:ilvl w:val="4"/>
        <w:numId w:val="1"/>
      </w:numPr>
      <w:spacing w:lineRule="atLeast" w:line="271" w:before="240" w:after="60"/>
      <w:outlineLvl w:val="4"/>
    </w:pPr>
    <w:rPr>
      <w:rFonts w:ascii="Book Antiqua" w:hAnsi="Book Antiqua" w:cs="Book Antiqua"/>
      <w:b/>
      <w:sz w:val="22"/>
    </w:rPr>
  </w:style>
  <w:style w:type="paragraph" w:styleId="Heading6">
    <w:name w:val="heading 6"/>
    <w:basedOn w:val="Normal"/>
    <w:next w:val="Normal"/>
    <w:qFormat/>
    <w:pPr>
      <w:numPr>
        <w:ilvl w:val="5"/>
        <w:numId w:val="1"/>
      </w:numPr>
      <w:tabs>
        <w:tab w:val="clear" w:pos="720"/>
        <w:tab w:val="left" w:pos="0" w:leader="none"/>
      </w:tabs>
      <w:spacing w:lineRule="atLeast" w:line="271" w:before="240" w:after="60"/>
      <w:outlineLvl w:val="5"/>
    </w:pPr>
    <w:rPr>
      <w:rFonts w:ascii="Book Antiqua" w:hAnsi="Book Antiqua" w:cs="Book Antiqua"/>
      <w:i/>
      <w:sz w:val="22"/>
    </w:rPr>
  </w:style>
  <w:style w:type="paragraph" w:styleId="Heading7">
    <w:name w:val="heading 7"/>
    <w:basedOn w:val="Normal"/>
    <w:next w:val="Normal"/>
    <w:qFormat/>
    <w:pPr>
      <w:numPr>
        <w:ilvl w:val="6"/>
        <w:numId w:val="1"/>
      </w:numPr>
      <w:tabs>
        <w:tab w:val="clear" w:pos="720"/>
        <w:tab w:val="left" w:pos="1800" w:leader="none"/>
      </w:tabs>
      <w:spacing w:lineRule="atLeast" w:line="271" w:before="240" w:after="60"/>
      <w:outlineLvl w:val="6"/>
    </w:pPr>
    <w:rPr>
      <w:rFonts w:ascii="Arial" w:hAnsi="Arial" w:cs="Arial"/>
      <w:sz w:val="22"/>
    </w:rPr>
  </w:style>
  <w:style w:type="paragraph" w:styleId="Heading8">
    <w:name w:val="heading 8"/>
    <w:basedOn w:val="Normal"/>
    <w:next w:val="Normal"/>
    <w:qFormat/>
    <w:pPr>
      <w:numPr>
        <w:ilvl w:val="7"/>
        <w:numId w:val="1"/>
      </w:numPr>
      <w:tabs>
        <w:tab w:val="clear" w:pos="720"/>
        <w:tab w:val="left" w:pos="0" w:leader="none"/>
      </w:tabs>
      <w:spacing w:lineRule="atLeast" w:line="271" w:before="240" w:after="60"/>
      <w:outlineLvl w:val="7"/>
    </w:pPr>
    <w:rPr>
      <w:rFonts w:ascii="Arial" w:hAnsi="Arial" w:cs="Arial"/>
      <w:i/>
      <w:sz w:val="22"/>
    </w:rPr>
  </w:style>
  <w:style w:type="paragraph" w:styleId="Heading9">
    <w:name w:val="heading 9"/>
    <w:basedOn w:val="Normal"/>
    <w:next w:val="Normal"/>
    <w:qFormat/>
    <w:pPr>
      <w:numPr>
        <w:ilvl w:val="8"/>
        <w:numId w:val="1"/>
      </w:numPr>
      <w:tabs>
        <w:tab w:val="clear" w:pos="720"/>
        <w:tab w:val="left" w:pos="0" w:leader="none"/>
      </w:tabs>
      <w:spacing w:lineRule="atLeast" w:line="271"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Book Antiqua" w:hAnsi="Book Antiqua" w:cs="Book Antiqua"/>
      <w:b/>
      <w:i w:val="false"/>
      <w:outline w:val="false"/>
      <w:shadow w:val="false"/>
      <w:color w:val="auto"/>
      <w:sz w:val="28"/>
    </w:rPr>
  </w:style>
  <w:style w:type="character" w:styleId="WW8Num3z1">
    <w:name w:val="WW8Num3z1"/>
    <w:qFormat/>
    <w:rPr>
      <w:rFonts w:ascii="Book Antiqua" w:hAnsi="Book Antiqua" w:cs="Book Antiqua"/>
      <w:b/>
      <w:i w:val="false"/>
      <w:shadow w:val="false"/>
      <w:color w:val="auto"/>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Book Antiqua" w:hAnsi="Book Antiqua" w:cs="Book Antiqua"/>
      <w:b/>
      <w:i w:val="false"/>
      <w:sz w:val="28"/>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u w:val="non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Book Antiqua" w:hAnsi="Book Antiqua" w:cs="Book Antiqua"/>
      <w:b/>
      <w:i w:val="false"/>
      <w:outline w:val="false"/>
      <w:shadow w:val="false"/>
      <w:color w:val="auto"/>
      <w:sz w:val="28"/>
    </w:rPr>
  </w:style>
  <w:style w:type="character" w:styleId="WW8Num38z1">
    <w:name w:val="WW8Num38z1"/>
    <w:qFormat/>
    <w:rPr>
      <w:rFonts w:ascii="Book Antiqua" w:hAnsi="Book Antiqua" w:cs="Book Antiqua"/>
      <w:b/>
      <w:i w:val="false"/>
      <w:shadow w:val="false"/>
      <w:color w:val="auto"/>
      <w:sz w:val="24"/>
    </w:rPr>
  </w:style>
  <w:style w:type="character" w:styleId="WW8Num39z0">
    <w:name w:val="WW8Num39z0"/>
    <w:qFormat/>
    <w:rPr>
      <w:rFonts w:ascii="Symbol" w:hAnsi="Symbol" w:cs="Symbol"/>
    </w:rPr>
  </w:style>
  <w:style w:type="character" w:styleId="WW8Num40z1">
    <w:name w:val="WW8Num40z1"/>
    <w:qFormat/>
    <w:rPr>
      <w:rFonts w:ascii="Book Antiqua" w:hAnsi="Book Antiqua" w:cs="Book Antiqua"/>
      <w:b/>
      <w:i w:val="false"/>
      <w:sz w:val="26"/>
    </w:rPr>
  </w:style>
  <w:style w:type="character" w:styleId="WW8Num40z2">
    <w:name w:val="WW8Num40z2"/>
    <w:qFormat/>
    <w:rPr>
      <w:sz w:val="24"/>
    </w:rPr>
  </w:style>
  <w:style w:type="character" w:styleId="WW8Num41z0">
    <w:name w:val="WW8Num41z0"/>
    <w:qFormat/>
    <w:rPr>
      <w:rFonts w:ascii="Symbol" w:hAnsi="Symbol" w:cs="Symbol"/>
    </w:rPr>
  </w:style>
  <w:style w:type="character" w:styleId="WW8Num42z0">
    <w:name w:val="WW8Num42z0"/>
    <w:qFormat/>
    <w:rPr>
      <w:i/>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Book Antiqua" w:hAnsi="Book Antiqua" w:cs="Book Antiqua"/>
      <w:b/>
      <w:i w:val="false"/>
      <w:caps/>
      <w:sz w:val="28"/>
    </w:rPr>
  </w:style>
  <w:style w:type="character" w:styleId="WW8Num46z1">
    <w:name w:val="WW8Num46z1"/>
    <w:qFormat/>
    <w:rPr>
      <w:rFonts w:ascii="Book Antiqua" w:hAnsi="Book Antiqua" w:cs="Book Antiqua"/>
      <w:b/>
      <w:i w:val="false"/>
      <w:shadow w:val="false"/>
      <w:color w:val="auto"/>
      <w:sz w:val="28"/>
    </w:rPr>
  </w:style>
  <w:style w:type="character" w:styleId="WW8Num46z2">
    <w:name w:val="WW8Num46z2"/>
    <w:qFormat/>
    <w:rPr>
      <w:rFonts w:ascii="Book Antiqua" w:hAnsi="Book Antiqua" w:cs="Book Antiqua"/>
      <w:b/>
      <w:i w:val="false"/>
      <w:sz w:val="24"/>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Book Antiqua" w:hAnsi="Book Antiqua" w:cs="Book Antiqua"/>
      <w:b/>
      <w:i w:val="false"/>
      <w:sz w:val="28"/>
    </w:rPr>
  </w:style>
  <w:style w:type="character" w:styleId="WW8Num51z1">
    <w:name w:val="WW8Num51z1"/>
    <w:qFormat/>
    <w:rPr>
      <w:rFonts w:ascii="Book Antiqua" w:hAnsi="Book Antiqua" w:cs="Book Antiqua"/>
      <w:b/>
      <w:i w:val="false"/>
      <w:sz w:val="24"/>
    </w:rPr>
  </w:style>
  <w:style w:type="character" w:styleId="WW8Num51z2">
    <w:name w:val="WW8Num51z2"/>
    <w:qFormat/>
    <w:rPr>
      <w:rFonts w:ascii="Book Antiqua" w:hAnsi="Book Antiqua" w:cs="Book Antiqua"/>
      <w:b w:val="false"/>
      <w:i/>
      <w:sz w:val="24"/>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Book Antiqua" w:hAnsi="Book Antiqua" w:cs="Book Antiqua"/>
      <w:b/>
      <w:i w:val="false"/>
      <w:outline w:val="false"/>
      <w:shadow w:val="false"/>
      <w:color w:val="auto"/>
      <w:sz w:val="28"/>
    </w:rPr>
  </w:style>
  <w:style w:type="character" w:styleId="WW8Num60z1">
    <w:name w:val="WW8Num60z1"/>
    <w:qFormat/>
    <w:rPr>
      <w:rFonts w:ascii="Book Antiqua" w:hAnsi="Book Antiqua" w:cs="Book Antiqua"/>
      <w:b/>
      <w:i w:val="false"/>
      <w:shadow w:val="false"/>
      <w:color w:val="auto"/>
      <w:sz w:val="24"/>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Book Antiqua" w:hAnsi="Book Antiqua" w:cs="Book Antiqua"/>
      <w:b/>
      <w:i w:val="false"/>
      <w:caps/>
      <w:sz w:val="28"/>
    </w:rPr>
  </w:style>
  <w:style w:type="character" w:styleId="WW8Num74z1">
    <w:name w:val="WW8Num74z1"/>
    <w:qFormat/>
    <w:rPr>
      <w:rFonts w:ascii="Book Antiqua" w:hAnsi="Book Antiqua" w:cs="Book Antiqua"/>
      <w:b/>
      <w:i w:val="false"/>
      <w:shadow w:val="false"/>
      <w:color w:val="auto"/>
      <w:sz w:val="28"/>
    </w:rPr>
  </w:style>
  <w:style w:type="character" w:styleId="WW8Num74z2">
    <w:name w:val="WW8Num74z2"/>
    <w:qFormat/>
    <w:rPr>
      <w:rFonts w:ascii="Book Antiqua" w:hAnsi="Book Antiqua" w:cs="Book Antiqua"/>
      <w:b/>
      <w:i w:val="false"/>
      <w:sz w:val="24"/>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Book Antiqua" w:hAnsi="Book Antiqua" w:cs="Book Antiqua"/>
      <w:b/>
      <w:i w:val="false"/>
      <w:caps/>
      <w:sz w:val="28"/>
    </w:rPr>
  </w:style>
  <w:style w:type="character" w:styleId="WW8Num84z1">
    <w:name w:val="WW8Num84z1"/>
    <w:qFormat/>
    <w:rPr>
      <w:rFonts w:ascii="Book Antiqua" w:hAnsi="Book Antiqua" w:cs="Book Antiqua"/>
      <w:b/>
      <w:i w:val="false"/>
      <w:shadow w:val="false"/>
      <w:color w:val="auto"/>
      <w:sz w:val="28"/>
    </w:rPr>
  </w:style>
  <w:style w:type="character" w:styleId="WW8Num84z2">
    <w:name w:val="WW8Num84z2"/>
    <w:qFormat/>
    <w:rPr>
      <w:rFonts w:ascii="Book Antiqua" w:hAnsi="Book Antiqua" w:cs="Book Antiqua"/>
      <w:b/>
      <w:i w:val="false"/>
      <w:sz w:val="24"/>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Book Antiqua" w:hAnsi="Book Antiqua" w:cs="Book Antiqua"/>
      <w:b/>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pPr>
    <w:rPr>
      <w:rFonts w:ascii="Book Antiqua" w:hAnsi="Book Antiqua" w:cs="Book Antiqua"/>
      <w:b/>
      <w:caps/>
      <w:sz w:val="28"/>
    </w:rPr>
  </w:style>
  <w:style w:type="paragraph" w:styleId="BodyText">
    <w:name w:val="Body Text"/>
    <w:basedOn w:val="Normal"/>
    <w:pPr/>
    <w:rPr>
      <w:rFonts w:ascii="Book Antiqua" w:hAnsi="Book Antiqua" w:cs="Book Antiqu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tLeast" w:line="271"/>
      <w:jc w:val="both"/>
    </w:pPr>
    <w:rPr>
      <w:rFonts w:ascii="Book Antiqua" w:hAnsi="Book Antiqua" w:cs="Book Antiqua"/>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lineRule="atLeast" w:line="271"/>
      <w:jc w:val="both"/>
    </w:pPr>
    <w:rPr>
      <w:rFonts w:ascii="Book Antiqua" w:hAnsi="Book Antiqua" w:cs="Book Antiqua"/>
      <w:sz w:val="22"/>
    </w:rPr>
  </w:style>
  <w:style w:type="paragraph" w:styleId="Footer">
    <w:name w:val="footer"/>
    <w:basedOn w:val="Normal"/>
    <w:pPr>
      <w:tabs>
        <w:tab w:val="clear" w:pos="720"/>
        <w:tab w:val="center" w:pos="4153" w:leader="none"/>
        <w:tab w:val="right" w:pos="8306" w:leader="none"/>
      </w:tabs>
      <w:spacing w:lineRule="atLeast" w:line="271"/>
      <w:jc w:val="both"/>
    </w:pPr>
    <w:rPr>
      <w:rFonts w:ascii="Book Antiqua" w:hAnsi="Book Antiqua" w:cs="Book Antiqua"/>
      <w:sz w:val="22"/>
    </w:rPr>
  </w:style>
  <w:style w:type="paragraph" w:styleId="BodyTextIndent">
    <w:name w:val="Body Text Indent"/>
    <w:basedOn w:val="Normal"/>
    <w:pPr>
      <w:ind w:hanging="432" w:start="432" w:end="0"/>
    </w:pPr>
    <w:rPr>
      <w:rFonts w:ascii="Book Antiqua" w:hAnsi="Book Antiqua" w:cs="Book Antiqua"/>
      <w:b/>
      <w:sz w:val="28"/>
    </w:rPr>
  </w:style>
  <w:style w:type="paragraph" w:styleId="BodyTextIndent2">
    <w:name w:val="Body Text Indent 2"/>
    <w:basedOn w:val="Normal"/>
    <w:qFormat/>
    <w:pPr>
      <w:ind w:hanging="6" w:start="0" w:end="0"/>
    </w:pPr>
    <w:rPr>
      <w:rFonts w:ascii="Book Antiqua" w:hAnsi="Book Antiqua" w:cs="Book Antiqua"/>
      <w:sz w:val="22"/>
    </w:rPr>
  </w:style>
  <w:style w:type="paragraph" w:styleId="CommentText">
    <w:name w:val="Comment Text"/>
    <w:basedOn w:val="Normal"/>
    <w:qFormat/>
    <w:pPr>
      <w:spacing w:lineRule="atLeast" w:line="271"/>
      <w:jc w:val="both"/>
    </w:pPr>
    <w:rPr>
      <w:rFonts w:ascii="Book Antiqua" w:hAnsi="Book Antiqua" w:cs="Book Antiqua"/>
      <w:sz w:val="22"/>
    </w:rPr>
  </w:style>
  <w:style w:type="paragraph" w:styleId="EndnoteText">
    <w:name w:val="endnote text"/>
    <w:basedOn w:val="Normal"/>
    <w:qFormat/>
    <w:pPr>
      <w:spacing w:lineRule="atLeast" w:line="271"/>
      <w:jc w:val="both"/>
    </w:pPr>
    <w:rPr>
      <w:rFonts w:ascii="Book Antiqua" w:hAnsi="Book Antiqua" w:cs="Book Antiqua"/>
      <w:sz w:val="22"/>
    </w:rPr>
  </w:style>
  <w:style w:type="paragraph" w:styleId="toaheading">
    <w:name w:val="toa heading"/>
    <w:basedOn w:val="Heading"/>
    <w:next w:val="Normal"/>
    <w:qFormat/>
    <w:pPr>
      <w:spacing w:before="120" w:after="60"/>
    </w:pPr>
    <w:rPr/>
  </w:style>
  <w:style w:type="paragraph" w:styleId="Subtitle-paul">
    <w:name w:val="Subtitle-paul"/>
    <w:basedOn w:val="Heading"/>
    <w:qFormat/>
    <w:pPr/>
    <w:rPr>
      <w:i/>
      <w:caps w:val="false"/>
      <w:smallCaps w:val="false"/>
    </w:rPr>
  </w:style>
  <w:style w:type="paragraph" w:styleId="Annex1">
    <w:name w:val="Annex 1"/>
    <w:basedOn w:val="Heading1"/>
    <w:qFormat/>
    <w:pPr>
      <w:numPr>
        <w:ilvl w:val="0"/>
        <w:numId w:val="7"/>
      </w:numPr>
      <w:tabs>
        <w:tab w:val="clear" w:pos="720"/>
        <w:tab w:val="left" w:pos="1440" w:leader="none"/>
      </w:tabs>
      <w:outlineLvl w:val="9"/>
    </w:pPr>
    <w:rPr>
      <w:caps/>
    </w:rPr>
  </w:style>
  <w:style w:type="paragraph" w:styleId="PlainText">
    <w:name w:val="Plain Text"/>
    <w:basedOn w:val="Normal"/>
    <w:qFormat/>
    <w:pPr>
      <w:spacing w:lineRule="atLeast" w:line="271"/>
      <w:jc w:val="both"/>
    </w:pPr>
    <w:rPr>
      <w:rFonts w:ascii="Courier New" w:hAnsi="Courier New" w:cs="Courier New"/>
    </w:rPr>
  </w:style>
  <w:style w:type="paragraph" w:styleId="Subtitle">
    <w:name w:val="Subtitle"/>
    <w:basedOn w:val="Normal"/>
    <w:next w:val="BodyText"/>
    <w:qFormat/>
    <w:pPr>
      <w:spacing w:lineRule="atLeast" w:line="271"/>
      <w:jc w:val="center"/>
    </w:pPr>
    <w:rPr>
      <w:rFonts w:ascii="Book Antiqua" w:hAnsi="Book Antiqua" w:cs="Book Antiqua"/>
      <w:b/>
      <w:sz w:val="22"/>
    </w:rPr>
  </w:style>
  <w:style w:type="paragraph" w:styleId="BodyText2">
    <w:name w:val="Body Text 2"/>
    <w:basedOn w:val="Normal"/>
    <w:qFormat/>
    <w:pPr>
      <w:spacing w:lineRule="atLeast" w:line="271"/>
    </w:pPr>
    <w:rPr>
      <w:rFonts w:ascii="Book Antiqua" w:hAnsi="Book Antiqua" w:cs="Book Antiqua"/>
      <w:i/>
      <w:sz w:val="22"/>
    </w:rPr>
  </w:style>
  <w:style w:type="paragraph" w:styleId="BodyText3">
    <w:name w:val="Body Text 3"/>
    <w:basedOn w:val="Normal"/>
    <w:qFormat/>
    <w:pPr>
      <w:spacing w:lineRule="atLeast" w:line="271"/>
      <w:jc w:val="both"/>
    </w:pPr>
    <w:rPr>
      <w:rFonts w:ascii="Book Antiqua" w:hAnsi="Book Antiqua" w:cs="Book Antiqua"/>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1999-10-05T06:40:00Z</dcterms:created>
  <dc:creator>Philip Davies</dc:creator>
  <dc:description/>
  <dc:language>en-CA</dc:language>
  <cp:lastModifiedBy>Paul Dawson</cp:lastModifiedBy>
  <cp:lastPrinted>1999-09-15T10:47:00Z</cp:lastPrinted>
  <dcterms:modified xsi:type="dcterms:W3CDTF">1999-10-05T06:40:00Z</dcterms:modified>
  <cp:revision>2</cp:revision>
  <dc:subject/>
  <dc:title>THE PROPOSED ACQUISITION OF EAST MIDLANDS ELECTRICITY BY POWERGEN</dc:title>
</cp:coreProperties>
</file>