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pPr>
      <w:r>
        <w:rPr/>
        <w:t>____________</w:t>
      </w:r>
      <w:bookmarkStart w:id="0" w:name="zEndAddressee"/>
      <w:bookmarkEnd w:id="0"/>
    </w:p>
    <w:p>
      <w:pPr>
        <w:pStyle w:val="Normal"/>
        <w:tabs>
          <w:tab w:val="clear" w:pos="720"/>
          <w:tab w:val="center" w:pos="4680" w:leader="none"/>
        </w:tabs>
        <w:suppressAutoHyphens w:val="true"/>
        <w:jc w:val="center"/>
        <w:rPr/>
      </w:pPr>
      <w:r>
        <w:rPr>
          <w:smallCaps/>
          <w:sz w:val="32"/>
          <w:szCs w:val="32"/>
        </w:rPr>
        <w:t>In The</w:t>
      </w:r>
      <w:r>
        <w:rPr>
          <w:smallCaps/>
          <w:sz w:val="28"/>
          <w:szCs w:val="28"/>
        </w:rPr>
        <w:t xml:space="preserve"> </w:t>
      </w:r>
      <w:r>
        <w:rPr>
          <w:smallCaps/>
          <w:sz w:val="32"/>
          <w:szCs w:val="32"/>
        </w:rPr>
        <w:t>Supreme Court</w:t>
      </w:r>
    </w:p>
    <w:p>
      <w:pPr>
        <w:pStyle w:val="Normal"/>
        <w:tabs>
          <w:tab w:val="clear" w:pos="720"/>
          <w:tab w:val="center" w:pos="4680" w:leader="none"/>
        </w:tabs>
        <w:suppressAutoHyphens w:val="true"/>
        <w:spacing w:before="0" w:after="80"/>
        <w:jc w:val="center"/>
        <w:rPr>
          <w:b w:val="false"/>
          <w:bCs w:val="false"/>
        </w:rPr>
      </w:pPr>
      <w:r>
        <w:rPr>
          <w:smallCaps/>
          <w:sz w:val="32"/>
          <w:szCs w:val="32"/>
        </w:rPr>
        <w:t>Of The State Of California</w:t>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b w:val="false"/>
                <w:bCs w:val="false"/>
              </w:rPr>
            </w:pPr>
            <w:r>
              <w:rPr>
                <w:b w:val="false"/>
                <w:bCs w:val="false"/>
              </w:rPr>
            </w:r>
          </w:p>
          <w:p>
            <w:pPr>
              <w:pStyle w:val="Normal"/>
              <w:tabs>
                <w:tab w:val="clear" w:pos="720"/>
                <w:tab w:val="left" w:pos="-720" w:leader="none"/>
              </w:tabs>
              <w:suppressAutoHyphens w:val="true"/>
              <w:spacing w:before="0" w:after="80"/>
              <w:rPr>
                <w:b w:val="false"/>
                <w:bCs w:val="false"/>
              </w:rPr>
            </w:pPr>
            <w:r>
              <w:rPr>
                <w:b w:val="false"/>
                <w:bCs w:val="false"/>
              </w:rPr>
              <w:t>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tc>
        <w:tc>
          <w:tcPr>
            <w:tcW w:w="239" w:type="dxa"/>
            <w:tcBorders/>
          </w:tcPr>
          <w:p>
            <w:pPr>
              <w:pStyle w:val="Normal"/>
              <w:tabs>
                <w:tab w:val="clear" w:pos="720"/>
                <w:tab w:val="left" w:pos="-720" w:leader="none"/>
              </w:tabs>
              <w:suppressAutoHyphens w:val="true"/>
              <w:snapToGrid w:val="false"/>
              <w:rPr>
                <w:b w:val="false"/>
                <w:bCs w:val="false"/>
              </w:rPr>
            </w:pPr>
            <w:r>
              <w:rPr>
                <w:b w:val="false"/>
                <w:bCs w:val="false"/>
              </w:rPr>
            </w:r>
          </w:p>
        </w:tc>
        <w:tc>
          <w:tcPr>
            <w:tcW w:w="87" w:type="dxa"/>
            <w:tcBorders/>
            <w:tcMar>
              <w:start w:w="0" w:type="dxa"/>
              <w:end w:w="0" w:type="dxa"/>
            </w:tcMar>
          </w:tcPr>
          <w:p>
            <w:pPr>
              <w:pStyle w:val="Normal"/>
              <w:snapToGrid w:val="false"/>
              <w:rPr/>
            </w:pPr>
            <w:r>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ab/>
              <w:tab/>
              <w:tab/>
              <w:tab/>
              <w:tab/>
              <w:tab/>
              <w:t>Petitioners,</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vs.</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snapToGrid w:val="false"/>
              <w:rPr>
                <w:b w:val="false"/>
                <w:bCs w:val="false"/>
              </w:rPr>
            </w:pPr>
            <w:r>
              <w:rPr>
                <w:b w:val="false"/>
                <w:bCs w:val="false"/>
              </w:rPr>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spacing w:before="0" w:after="80"/>
              <w:rPr>
                <w:b w:val="false"/>
                <w:bCs w:val="false"/>
              </w:rPr>
            </w:pPr>
            <w:r>
              <w:rPr>
                <w:b w:val="false"/>
                <w:bCs w:val="false"/>
              </w:rPr>
              <w:t>CALIFORNIA PUBLIC UTILITIES COMMISSION,</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ab/>
              <w:tab/>
              <w:tab/>
              <w:tab/>
              <w:tab/>
              <w:tab/>
              <w:t>Respondent.</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pPr>
            <w:r>
              <w:rPr/>
            </w:r>
          </w:p>
        </w:tc>
        <w:tc>
          <w:tcPr>
            <w:tcW w:w="326" w:type="dxa"/>
            <w:gridSpan w:val="2"/>
            <w:tcBorders/>
          </w:tcPr>
          <w:p>
            <w:pPr>
              <w:pStyle w:val="Normal"/>
              <w:tabs>
                <w:tab w:val="clear" w:pos="720"/>
                <w:tab w:val="left" w:pos="-720" w:leader="none"/>
              </w:tabs>
              <w:suppressAutoHyphens w:val="true"/>
              <w:snapToGrid w:val="false"/>
              <w:rPr/>
            </w:pPr>
            <w:r>
              <w:rPr/>
            </w:r>
          </w:p>
        </w:tc>
      </w:tr>
    </w:tbl>
    <w:p>
      <w:pPr>
        <w:pStyle w:val="Normal"/>
        <w:tabs>
          <w:tab w:val="clear" w:pos="720"/>
          <w:tab w:val="left" w:pos="-720" w:leader="none"/>
        </w:tabs>
        <w:suppressAutoHyphens w:val="true"/>
        <w:jc w:val="center"/>
        <w:rPr>
          <w:b w:val="false"/>
          <w:bCs w:val="false"/>
        </w:rPr>
      </w:pPr>
      <w:r>
        <w:rPr>
          <w:b w:val="false"/>
          <w:bCs w:val="false"/>
        </w:rPr>
      </w:r>
    </w:p>
    <w:p>
      <w:pPr>
        <w:pStyle w:val="Normal"/>
        <w:tabs>
          <w:tab w:val="clear" w:pos="720"/>
          <w:tab w:val="left" w:pos="-720" w:leader="none"/>
        </w:tabs>
        <w:suppressAutoHyphens w:val="true"/>
        <w:jc w:val="center"/>
        <w:rPr/>
      </w:pPr>
      <w:r>
        <w:rPr/>
        <w:t>FROM THE PUBLIC UTILITIES COMMISSION</w:t>
        <w:br/>
        <w:t>Decision Nos. 01-09-060 and 01-10-036</w:t>
      </w:r>
    </w:p>
    <w:p>
      <w:pPr>
        <w:pStyle w:val="Normal"/>
        <w:pBdr>
          <w:bottom w:val="single" w:sz="18" w:space="1" w:color="000000"/>
        </w:pBdr>
        <w:tabs>
          <w:tab w:val="clear" w:pos="720"/>
          <w:tab w:val="left" w:pos="-720" w:leader="none"/>
        </w:tabs>
        <w:suppressAutoHyphens w:val="true"/>
        <w:jc w:val="center"/>
        <w:rPr/>
      </w:pPr>
      <w:r>
        <w:rPr/>
      </w:r>
    </w:p>
    <w:p>
      <w:pPr>
        <w:pStyle w:val="Normal"/>
        <w:tabs>
          <w:tab w:val="clear" w:pos="720"/>
          <w:tab w:val="left" w:pos="-720" w:leader="none"/>
        </w:tabs>
        <w:suppressAutoHyphens w:val="true"/>
        <w:spacing w:before="80" w:after="80"/>
        <w:jc w:val="center"/>
        <w:rPr>
          <w:sz w:val="28"/>
          <w:szCs w:val="28"/>
        </w:rPr>
      </w:pPr>
      <w:r>
        <w:rPr>
          <w:sz w:val="28"/>
          <w:szCs w:val="28"/>
        </w:rPr>
        <w:t>MOTION FOR JUDICIAL NOTICE; MEMORANDUM OF POINTS AND AUTHORITIES IN SUPPORT THEREOF; [PROPOSED] ORDER</w:t>
      </w:r>
    </w:p>
    <w:p>
      <w:pPr>
        <w:pStyle w:val="Normal"/>
        <w:pBdr>
          <w:top w:val="single" w:sz="18" w:space="1" w:color="000000"/>
        </w:pBdr>
        <w:tabs>
          <w:tab w:val="clear" w:pos="720"/>
          <w:tab w:val="left" w:pos="-720" w:leader="none"/>
        </w:tabs>
        <w:suppressAutoHyphens w:val="true"/>
        <w:ind w:end="-270"/>
        <w:jc w:val="center"/>
        <w:rPr>
          <w:b w:val="false"/>
          <w:bCs w:val="false"/>
          <w:sz w:val="28"/>
          <w:szCs w:val="28"/>
        </w:rPr>
      </w:pPr>
      <w:r>
        <w:rPr>
          <w:b w:val="false"/>
          <w:bCs w:val="false"/>
          <w:sz w:val="28"/>
          <w:szCs w:val="28"/>
        </w:rPr>
      </w:r>
    </w:p>
    <w:p>
      <w:pPr>
        <w:pStyle w:val="Normal"/>
        <w:tabs>
          <w:tab w:val="clear" w:pos="720"/>
          <w:tab w:val="left" w:pos="-720" w:leader="none"/>
        </w:tabs>
        <w:suppressAutoHyphens w:val="true"/>
        <w:ind w:start="720" w:end="0"/>
        <w:rPr>
          <w:b w:val="false"/>
          <w:bCs w:val="false"/>
        </w:rPr>
      </w:pPr>
      <w:r>
        <w:rPr>
          <w:b w:val="false"/>
          <w:bCs w:val="false"/>
        </w:rPr>
        <w:t>DANIEL W. DOUGLASS - California State Bar No. 060989</w:t>
      </w:r>
    </w:p>
    <w:p>
      <w:pPr>
        <w:pStyle w:val="Normal"/>
        <w:tabs>
          <w:tab w:val="clear" w:pos="720"/>
          <w:tab w:val="left" w:pos="-720" w:leader="none"/>
        </w:tabs>
        <w:suppressAutoHyphens w:val="true"/>
        <w:ind w:start="720" w:end="0"/>
        <w:rPr>
          <w:b w:val="false"/>
          <w:bCs w:val="false"/>
        </w:rPr>
      </w:pPr>
      <w:r>
        <w:rPr>
          <w:b w:val="false"/>
          <w:bCs w:val="false"/>
        </w:rPr>
        <w:t>LAW OFFICES OF DANIEL W. DOUGLASS</w:t>
        <w:br/>
      </w:r>
    </w:p>
    <w:p>
      <w:pPr>
        <w:pStyle w:val="Normal"/>
        <w:tabs>
          <w:tab w:val="clear" w:pos="720"/>
          <w:tab w:val="left" w:pos="-720" w:leader="none"/>
        </w:tabs>
        <w:suppressAutoHyphens w:val="true"/>
        <w:ind w:start="720" w:end="0"/>
        <w:rPr>
          <w:b w:val="false"/>
          <w:bCs w:val="false"/>
        </w:rPr>
      </w:pPr>
      <w:r>
        <w:rPr>
          <w:b w:val="false"/>
          <w:bCs w:val="false"/>
        </w:rPr>
        <w:t>EDWIN W. DUNCAN - California State Bar No. 045043</w:t>
      </w:r>
    </w:p>
    <w:p>
      <w:pPr>
        <w:pStyle w:val="Normal"/>
        <w:tabs>
          <w:tab w:val="clear" w:pos="720"/>
          <w:tab w:val="left" w:pos="-720" w:leader="none"/>
        </w:tabs>
        <w:suppressAutoHyphens w:val="true"/>
        <w:ind w:start="720" w:end="0"/>
        <w:rPr>
          <w:b w:val="false"/>
          <w:bCs w:val="false"/>
        </w:rPr>
      </w:pPr>
      <w:r>
        <w:rPr>
          <w:b w:val="false"/>
          <w:bCs w:val="false"/>
        </w:rPr>
        <w:t xml:space="preserve">ARTER &amp; HADDEN </w:t>
      </w:r>
      <w:r>
        <w:rPr>
          <w:b w:val="false"/>
          <w:bCs w:val="false"/>
          <w:sz w:val="20"/>
          <w:szCs w:val="20"/>
        </w:rPr>
        <w:t>LLP</w:t>
      </w:r>
    </w:p>
    <w:p>
      <w:pPr>
        <w:pStyle w:val="Normal"/>
        <w:tabs>
          <w:tab w:val="clear" w:pos="720"/>
          <w:tab w:val="left" w:pos="-720" w:leader="none"/>
        </w:tabs>
        <w:suppressAutoHyphens w:val="true"/>
        <w:ind w:start="720" w:end="0"/>
        <w:rPr>
          <w:b w:val="false"/>
          <w:bCs w:val="false"/>
        </w:rPr>
      </w:pPr>
      <w:r>
        <w:rPr>
          <w:b w:val="false"/>
          <w:bCs w:val="false"/>
        </w:rPr>
        <w:t>5959 Topanga Canyon Boulevard, Suite 244</w:t>
      </w:r>
    </w:p>
    <w:p>
      <w:pPr>
        <w:pStyle w:val="Normal"/>
        <w:tabs>
          <w:tab w:val="clear" w:pos="720"/>
          <w:tab w:val="left" w:pos="-720" w:leader="none"/>
        </w:tabs>
        <w:suppressAutoHyphens w:val="true"/>
        <w:ind w:start="720" w:end="0"/>
        <w:rPr>
          <w:b w:val="false"/>
          <w:bCs w:val="false"/>
        </w:rPr>
      </w:pPr>
      <w:r>
        <w:rPr>
          <w:b w:val="false"/>
          <w:bCs w:val="false"/>
        </w:rPr>
        <w:t>Woodland Hills, California 91367</w:t>
      </w:r>
    </w:p>
    <w:p>
      <w:pPr>
        <w:pStyle w:val="Normal"/>
        <w:tabs>
          <w:tab w:val="clear" w:pos="720"/>
          <w:tab w:val="left" w:pos="-720" w:leader="none"/>
        </w:tabs>
        <w:suppressAutoHyphens w:val="true"/>
        <w:ind w:start="720" w:end="0"/>
        <w:rPr>
          <w:b w:val="false"/>
          <w:bCs w:val="false"/>
        </w:rPr>
      </w:pPr>
      <w:r>
        <w:rPr>
          <w:b w:val="false"/>
          <w:bCs w:val="false"/>
        </w:rPr>
        <w:t>Telephone:  (818) 712-0036; Telecopier: (818) 346-6502</w:t>
      </w:r>
    </w:p>
    <w:p>
      <w:pPr>
        <w:pStyle w:val="Normal"/>
        <w:tabs>
          <w:tab w:val="clear" w:pos="720"/>
          <w:tab w:val="left" w:pos="-720" w:leader="none"/>
        </w:tabs>
        <w:suppressAutoHyphens w:val="true"/>
        <w:ind w:start="720" w:end="0"/>
        <w:rPr>
          <w:b w:val="false"/>
          <w:bCs w:val="false"/>
        </w:rPr>
      </w:pPr>
      <w:r>
        <w:rPr>
          <w:b w:val="false"/>
          <w:bCs w:val="false"/>
        </w:rPr>
      </w:r>
    </w:p>
    <w:p>
      <w:pPr>
        <w:pStyle w:val="Normal"/>
        <w:tabs>
          <w:tab w:val="clear" w:pos="720"/>
          <w:tab w:val="center" w:pos="4680" w:leader="none"/>
        </w:tabs>
        <w:suppressAutoHyphens w:val="true"/>
        <w:ind w:start="720" w:end="0"/>
        <w:rPr>
          <w:b w:val="false"/>
          <w:bCs w:val="false"/>
        </w:rPr>
      </w:pPr>
      <w:r>
        <w:rPr>
          <w:b w:val="false"/>
          <w:bCs w:val="false"/>
        </w:rPr>
        <w:t>Attorneys for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p>
      <w:pPr>
        <w:pStyle w:val="Normal"/>
        <w:tabs>
          <w:tab w:val="clear" w:pos="720"/>
          <w:tab w:val="center" w:pos="4680" w:leader="none"/>
        </w:tabs>
        <w:suppressAutoHyphens w:val="true"/>
        <w:rPr>
          <w:b w:val="false"/>
          <w:bCs w:val="false"/>
        </w:rPr>
      </w:pPr>
      <w:r>
        <w:rPr>
          <w:b w:val="false"/>
          <w:bCs w:val="false"/>
        </w:rPr>
      </w:r>
    </w:p>
    <w:p>
      <w:pPr>
        <w:pStyle w:val="Normal"/>
        <w:tabs>
          <w:tab w:val="clear" w:pos="720"/>
          <w:tab w:val="center" w:pos="4680" w:leader="none"/>
        </w:tabs>
        <w:suppressAutoHyphens w:val="true"/>
        <w:jc w:val="center"/>
        <w:rPr/>
      </w:pPr>
      <w:r>
        <w:rPr>
          <w:smallCaps/>
          <w:sz w:val="32"/>
          <w:szCs w:val="32"/>
        </w:rPr>
        <w:t>In The</w:t>
      </w:r>
      <w:r>
        <w:rPr>
          <w:smallCaps/>
          <w:sz w:val="28"/>
          <w:szCs w:val="28"/>
        </w:rPr>
        <w:t xml:space="preserve"> </w:t>
      </w:r>
      <w:r>
        <w:rPr>
          <w:smallCaps/>
          <w:sz w:val="32"/>
          <w:szCs w:val="32"/>
        </w:rPr>
        <w:t>Supreme Court</w:t>
      </w:r>
    </w:p>
    <w:p>
      <w:pPr>
        <w:pStyle w:val="Normal"/>
        <w:tabs>
          <w:tab w:val="clear" w:pos="720"/>
          <w:tab w:val="center" w:pos="4680" w:leader="none"/>
        </w:tabs>
        <w:suppressAutoHyphens w:val="true"/>
        <w:jc w:val="center"/>
        <w:rPr>
          <w:smallCaps/>
          <w:sz w:val="32"/>
          <w:szCs w:val="32"/>
        </w:rPr>
      </w:pPr>
      <w:r>
        <w:rPr>
          <w:smallCaps/>
          <w:sz w:val="32"/>
          <w:szCs w:val="32"/>
        </w:rPr>
        <w:t>Of The State Of California</w:t>
      </w:r>
    </w:p>
    <w:p>
      <w:pPr>
        <w:pStyle w:val="Normal"/>
        <w:ind w:end="-450"/>
        <w:rPr>
          <w:b w:val="false"/>
          <w:bCs w:val="false"/>
        </w:rPr>
      </w:pPr>
      <w:r>
        <w:rPr>
          <w:b w:val="false"/>
          <w:bCs w:val="false"/>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b w:val="false"/>
                <w:bCs w:val="false"/>
              </w:rPr>
            </w:pPr>
            <w:r>
              <w:rPr>
                <w:b w:val="false"/>
                <w:bCs w:val="false"/>
              </w:rPr>
            </w:r>
          </w:p>
          <w:p>
            <w:pPr>
              <w:pStyle w:val="Normal"/>
              <w:tabs>
                <w:tab w:val="clear" w:pos="720"/>
                <w:tab w:val="left" w:pos="-720" w:leader="none"/>
              </w:tabs>
              <w:suppressAutoHyphens w:val="true"/>
              <w:spacing w:before="0" w:after="80"/>
              <w:rPr>
                <w:b w:val="false"/>
                <w:bCs w:val="false"/>
              </w:rPr>
            </w:pPr>
            <w:r>
              <w:rPr>
                <w:b w:val="false"/>
                <w:bCs w:val="false"/>
              </w:rPr>
              <w:t>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tc>
        <w:tc>
          <w:tcPr>
            <w:tcW w:w="239" w:type="dxa"/>
            <w:tcBorders/>
          </w:tcPr>
          <w:p>
            <w:pPr>
              <w:pStyle w:val="Normal"/>
              <w:tabs>
                <w:tab w:val="clear" w:pos="720"/>
                <w:tab w:val="left" w:pos="-720" w:leader="none"/>
              </w:tabs>
              <w:suppressAutoHyphens w:val="true"/>
              <w:snapToGrid w:val="false"/>
              <w:rPr>
                <w:b w:val="false"/>
                <w:bCs w:val="false"/>
              </w:rPr>
            </w:pPr>
            <w:r>
              <w:rPr>
                <w:b w:val="false"/>
                <w:bCs w:val="false"/>
              </w:rPr>
            </w:r>
          </w:p>
        </w:tc>
        <w:tc>
          <w:tcPr>
            <w:tcW w:w="87" w:type="dxa"/>
            <w:tcBorders/>
            <w:tcMar>
              <w:start w:w="0" w:type="dxa"/>
              <w:end w:w="0" w:type="dxa"/>
            </w:tcMar>
          </w:tcPr>
          <w:p>
            <w:pPr>
              <w:pStyle w:val="Normal"/>
              <w:snapToGrid w:val="false"/>
              <w:rPr>
                <w:b w:val="false"/>
                <w:bCs w:val="false"/>
              </w:rPr>
            </w:pPr>
            <w:r>
              <w:rPr>
                <w:b w:val="false"/>
                <w:bCs w:val="false"/>
              </w:rPr>
            </w:r>
          </w:p>
        </w:tc>
      </w:tr>
      <w:tr>
        <w:trPr/>
        <w:tc>
          <w:tcPr>
            <w:tcW w:w="9270" w:type="dxa"/>
            <w:tcBorders/>
          </w:tcPr>
          <w:p>
            <w:pPr>
              <w:pStyle w:val="Normal"/>
              <w:tabs>
                <w:tab w:val="clear" w:pos="720"/>
                <w:tab w:val="left" w:pos="-720" w:leader="none"/>
                <w:tab w:val="left" w:pos="2880" w:leader="none"/>
              </w:tabs>
              <w:suppressAutoHyphens w:val="true"/>
              <w:snapToGrid w:val="false"/>
              <w:rPr>
                <w:b w:val="false"/>
                <w:bCs w:val="false"/>
              </w:rPr>
            </w:pPr>
            <w:r>
              <w:rPr>
                <w:b w:val="false"/>
                <w:bCs w:val="false"/>
              </w:rPr>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ab/>
              <w:tab/>
              <w:tab/>
              <w:tab/>
              <w:tab/>
              <w:tab/>
              <w:t>Petitioners,</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vs.</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snapToGrid w:val="false"/>
              <w:rPr>
                <w:b w:val="false"/>
                <w:bCs w:val="false"/>
              </w:rPr>
            </w:pPr>
            <w:r>
              <w:rPr>
                <w:b w:val="false"/>
                <w:bCs w:val="false"/>
              </w:rPr>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CALIFORNIA PUBLIC UTILITIES COMMISSION,</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snapToGrid w:val="false"/>
              <w:rPr>
                <w:b w:val="false"/>
                <w:bCs w:val="false"/>
              </w:rPr>
            </w:pPr>
            <w:r>
              <w:rPr>
                <w:b w:val="false"/>
                <w:bCs w:val="false"/>
              </w:rPr>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tcPr>
          <w:p>
            <w:pPr>
              <w:pStyle w:val="Normal"/>
              <w:tabs>
                <w:tab w:val="clear" w:pos="720"/>
                <w:tab w:val="left" w:pos="-720" w:leader="none"/>
              </w:tabs>
              <w:suppressAutoHyphens w:val="true"/>
              <w:rPr>
                <w:b w:val="false"/>
                <w:bCs w:val="false"/>
              </w:rPr>
            </w:pPr>
            <w:r>
              <w:rPr>
                <w:b w:val="false"/>
                <w:bCs w:val="false"/>
              </w:rPr>
              <w:tab/>
              <w:tab/>
              <w:tab/>
              <w:tab/>
              <w:tab/>
              <w:tab/>
              <w:t>Respondent.</w:t>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b w:val="false"/>
                <w:bCs w:val="false"/>
              </w:rPr>
            </w:pPr>
            <w:r>
              <w:rPr>
                <w:b w:val="false"/>
                <w:bCs w:val="false"/>
              </w:rPr>
            </w:r>
          </w:p>
        </w:tc>
        <w:tc>
          <w:tcPr>
            <w:tcW w:w="326" w:type="dxa"/>
            <w:gridSpan w:val="2"/>
            <w:tcBorders/>
          </w:tcPr>
          <w:p>
            <w:pPr>
              <w:pStyle w:val="Normal"/>
              <w:tabs>
                <w:tab w:val="clear" w:pos="720"/>
                <w:tab w:val="left" w:pos="-720" w:leader="none"/>
              </w:tabs>
              <w:suppressAutoHyphens w:val="true"/>
              <w:snapToGrid w:val="false"/>
              <w:rPr>
                <w:b w:val="false"/>
                <w:bCs w:val="false"/>
              </w:rPr>
            </w:pPr>
            <w:r>
              <w:rPr>
                <w:b w:val="false"/>
                <w:bCs w:val="false"/>
              </w:rPr>
            </w:r>
          </w:p>
        </w:tc>
      </w:tr>
    </w:tbl>
    <w:p>
      <w:pPr>
        <w:pStyle w:val="Normal"/>
        <w:tabs>
          <w:tab w:val="clear" w:pos="720"/>
          <w:tab w:val="left" w:pos="-720" w:leader="none"/>
        </w:tabs>
        <w:suppressAutoHyphens w:val="true"/>
        <w:jc w:val="center"/>
        <w:rPr>
          <w:b w:val="false"/>
          <w:bCs w:val="false"/>
        </w:rPr>
      </w:pPr>
      <w:r>
        <w:rPr>
          <w:b w:val="false"/>
          <w:bCs w:val="false"/>
        </w:rPr>
      </w:r>
    </w:p>
    <w:p>
      <w:pPr>
        <w:pStyle w:val="Normal"/>
        <w:pBdr>
          <w:bottom w:val="single" w:sz="18" w:space="1" w:color="000000"/>
        </w:pBdr>
        <w:tabs>
          <w:tab w:val="clear" w:pos="720"/>
          <w:tab w:val="left" w:pos="-720" w:leader="none"/>
        </w:tabs>
        <w:suppressAutoHyphens w:val="true"/>
        <w:jc w:val="center"/>
        <w:rPr>
          <w:b w:val="false"/>
          <w:bCs w:val="false"/>
        </w:rPr>
      </w:pPr>
      <w:r>
        <w:rPr>
          <w:b w:val="false"/>
          <w:bCs w:val="false"/>
        </w:rPr>
      </w:r>
    </w:p>
    <w:p>
      <w:pPr>
        <w:pStyle w:val="Normal"/>
        <w:tabs>
          <w:tab w:val="clear" w:pos="720"/>
          <w:tab w:val="left" w:pos="-720" w:leader="none"/>
        </w:tabs>
        <w:suppressAutoHyphens w:val="true"/>
        <w:spacing w:before="80" w:after="80"/>
        <w:jc w:val="center"/>
        <w:rPr>
          <w:b w:val="false"/>
          <w:bCs w:val="false"/>
          <w:sz w:val="28"/>
          <w:szCs w:val="28"/>
        </w:rPr>
      </w:pPr>
      <w:r>
        <w:rPr>
          <w:sz w:val="28"/>
          <w:szCs w:val="28"/>
        </w:rPr>
        <w:t>MOTION FOR JUDICIAL NOTICE; MEMORANDUM OF POINTS</w:t>
        <w:br/>
        <w:t>AND AUTHORITIES IN SUPPORT THEREOF; [PROPOSED] ORDER</w:t>
      </w:r>
    </w:p>
    <w:p>
      <w:pPr>
        <w:pStyle w:val="Normal"/>
        <w:pBdr>
          <w:top w:val="single" w:sz="18" w:space="1" w:color="000000"/>
        </w:pBdr>
        <w:tabs>
          <w:tab w:val="clear" w:pos="720"/>
          <w:tab w:val="left" w:pos="-720" w:leader="none"/>
        </w:tabs>
        <w:suppressAutoHyphens w:val="true"/>
        <w:ind w:end="-270"/>
        <w:jc w:val="center"/>
        <w:rPr>
          <w:b w:val="false"/>
          <w:bCs w:val="false"/>
          <w:sz w:val="28"/>
          <w:szCs w:val="28"/>
        </w:rPr>
      </w:pPr>
      <w:r>
        <w:rPr>
          <w:b w:val="false"/>
          <w:bCs w:val="false"/>
          <w:sz w:val="28"/>
          <w:szCs w:val="28"/>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sectPr>
          <w:headerReference w:type="default" r:id="rId2"/>
          <w:footerReference w:type="default" r:id="rId3"/>
          <w:type w:val="nextPage"/>
          <w:pgSz w:w="12240" w:h="15840"/>
          <w:pgMar w:left="1800" w:right="1440" w:gutter="0" w:header="461" w:top="1354" w:footer="360" w:bottom="1008"/>
          <w:pgNumType w:start="1" w:fmt="decimal"/>
          <w:formProt w:val="false"/>
          <w:textDirection w:val="lrTb"/>
        </w:sectPr>
        <w:pStyle w:val="Normal"/>
        <w:rPr>
          <w:b w:val="false"/>
          <w:bCs w:val="false"/>
        </w:rPr>
      </w:pPr>
      <w:r>
        <w:rPr>
          <w:b w:val="false"/>
          <w:bCs w:val="false"/>
        </w:rPr>
      </w:r>
    </w:p>
    <w:p>
      <w:pPr>
        <w:pStyle w:val="Body"/>
        <w:rPr>
          <w:b w:val="false"/>
          <w:bCs w:val="false"/>
        </w:rPr>
      </w:pPr>
      <w:r>
        <w:rPr>
          <w:b w:val="false"/>
          <w:bCs w:val="false"/>
        </w:rPr>
      </w:r>
    </w:p>
    <w:p>
      <w:pPr>
        <w:pStyle w:val="Body"/>
        <w:rPr/>
      </w:pPr>
      <w:r>
        <w:rPr/>
        <w:t>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 move the Supreme Court to take judicial notice of the following documents, copies of which are attached hereto:</w:t>
      </w:r>
    </w:p>
    <w:p>
      <w:pPr>
        <w:pStyle w:val="Body"/>
        <w:ind w:hanging="720" w:start="1440" w:end="0"/>
        <w:rPr/>
      </w:pPr>
      <w:r>
        <w:rPr/>
        <w:fldChar w:fldCharType="begin"/>
      </w:r>
      <w:r>
        <w:rPr/>
        <w:instrText xml:space="preserve"> SEQ Level2 \* ARABIC </w:instrText>
      </w:r>
      <w:r>
        <w:rPr/>
        <w:fldChar w:fldCharType="separate"/>
      </w:r>
      <w:r>
        <w:rPr/>
        <w:t>1</w:t>
      </w:r>
      <w:r>
        <w:rPr/>
        <w:fldChar w:fldCharType="end"/>
      </w:r>
      <w:r>
        <w:rPr/>
        <w:t>.</w:t>
        <w:tab/>
        <w:t>California State Senate Concurrent Resolution No. 46 dated September 14, 2001 (Exhibit A).</w:t>
      </w:r>
    </w:p>
    <w:p>
      <w:pPr>
        <w:pStyle w:val="Body"/>
        <w:ind w:hanging="720" w:start="1440" w:end="0"/>
        <w:rPr/>
      </w:pPr>
      <w:r>
        <w:rPr/>
        <w:fldChar w:fldCharType="begin"/>
      </w:r>
      <w:r>
        <w:rPr/>
        <w:instrText xml:space="preserve"> SEQ Level2 \* ARABIC </w:instrText>
      </w:r>
      <w:r>
        <w:rPr/>
        <w:fldChar w:fldCharType="separate"/>
      </w:r>
      <w:r>
        <w:rPr/>
        <w:t>2</w:t>
      </w:r>
      <w:r>
        <w:rPr/>
        <w:fldChar w:fldCharType="end"/>
      </w:r>
      <w:r>
        <w:rPr/>
        <w:t>.</w:t>
        <w:tab/>
        <w:t>ABX2 9 dated September 13, 2001 and vetoed October 14, 2001 (Exhibit B);</w:t>
      </w:r>
    </w:p>
    <w:p>
      <w:pPr>
        <w:pStyle w:val="Body"/>
        <w:ind w:hanging="720" w:start="1440" w:end="0"/>
        <w:rPr/>
      </w:pPr>
      <w:bookmarkStart w:id="1" w:name="bkMarkSeq1"/>
      <w:r>
        <w:rPr/>
        <w:fldChar w:fldCharType="begin"/>
      </w:r>
      <w:r>
        <w:rPr/>
        <w:instrText xml:space="preserve"> SEQ Level2 \* ARABIC </w:instrText>
      </w:r>
      <w:r>
        <w:rPr/>
        <w:fldChar w:fldCharType="separate"/>
      </w:r>
      <w:r>
        <w:rPr/>
        <w:t>3</w:t>
      </w:r>
      <w:r>
        <w:rPr/>
        <w:fldChar w:fldCharType="end"/>
      </w:r>
      <w:bookmarkEnd w:id="1"/>
      <w:r>
        <w:rPr/>
        <w:t>.</w:t>
        <w:tab/>
        <w:t>Proclamation of Governor Davis dated January 17, 2001 (Exhibit C); and</w:t>
      </w:r>
    </w:p>
    <w:p>
      <w:pPr>
        <w:pStyle w:val="Body"/>
        <w:ind w:hanging="720" w:start="1440" w:end="0"/>
        <w:rPr/>
      </w:pPr>
      <w:bookmarkStart w:id="2" w:name="bkCheck2"/>
      <w:bookmarkStart w:id="3" w:name="bkCheck1"/>
      <w:bookmarkStart w:id="4" w:name="bkReturn"/>
      <w:bookmarkStart w:id="5" w:name="bkGoback"/>
      <w:bookmarkEnd w:id="2"/>
      <w:bookmarkEnd w:id="3"/>
      <w:bookmarkEnd w:id="4"/>
      <w:bookmarkEnd w:id="5"/>
      <w:r>
        <w:rPr/>
        <w:fldChar w:fldCharType="begin"/>
      </w:r>
      <w:r>
        <w:rPr/>
        <w:instrText xml:space="preserve"> SEQ Level2 \* ARABIC </w:instrText>
      </w:r>
      <w:r>
        <w:rPr/>
        <w:fldChar w:fldCharType="separate"/>
      </w:r>
      <w:r>
        <w:rPr/>
        <w:t>4</w:t>
      </w:r>
      <w:r>
        <w:rPr/>
        <w:fldChar w:fldCharType="end"/>
      </w:r>
      <w:r>
        <w:rPr/>
        <w:t>.</w:t>
        <w:tab/>
        <w:t>Portion of California Public Utilities Commission Decision 95-12-063 as modified by Decision 96-01-009 (Exhibit D).</w:t>
      </w:r>
    </w:p>
    <w:p>
      <w:pPr>
        <w:pStyle w:val="Body"/>
        <w:rPr/>
      </w:pPr>
      <w:r>
        <w:rPr/>
        <w:t>This Motion is made pursuant to Rule 14.5 of the California Rules of Court on the grounds that each of the foregoing documents can be judicially noticed pursuant to section 452 of the California Evidence Code.</w:t>
      </w:r>
    </w:p>
    <w:p>
      <w:pPr>
        <w:pStyle w:val="Body"/>
        <w:keepNext w:val="true"/>
        <w:keepLines/>
        <w:rPr/>
      </w:pPr>
      <w:r>
        <w:rPr/>
        <w:t>This Motion is based upon the attached Memorandum of Points and Authorities, and upon all of the pleadings and records in this case.</w:t>
      </w:r>
    </w:p>
    <w:p>
      <w:pPr>
        <w:pStyle w:val="Body"/>
        <w:keepNext w:val="true"/>
        <w:keepLines/>
        <w:spacing w:lineRule="auto" w:line="240"/>
        <w:ind w:hanging="0" w:end="0"/>
        <w:rPr/>
      </w:pPr>
      <w:bookmarkStart w:id="6" w:name="bkCheck2"/>
      <w:bookmarkEnd w:id="6"/>
      <w:r>
        <w:rPr/>
        <w:t>DATED: November 8, 2001</w:t>
        <w:tab/>
        <w:t>Respectfully submitted,</w:t>
      </w:r>
    </w:p>
    <w:p>
      <w:pPr>
        <w:pStyle w:val="Body"/>
        <w:keepNext w:val="true"/>
        <w:keepLines/>
        <w:spacing w:lineRule="auto" w:line="240"/>
        <w:rPr/>
      </w:pPr>
      <w:r>
        <w:rPr/>
      </w:r>
    </w:p>
    <w:p>
      <w:pPr>
        <w:pStyle w:val="Body"/>
        <w:keepNext w:val="true"/>
        <w:keepLines/>
        <w:spacing w:lineRule="auto" w:line="240" w:before="0" w:after="0"/>
        <w:rPr/>
      </w:pPr>
      <w:r>
        <w:rPr/>
        <w:tab/>
        <w:tab/>
        <w:tab/>
        <w:tab/>
        <w:t>DANIEL W. DOUGLASS</w:t>
      </w:r>
    </w:p>
    <w:p>
      <w:pPr>
        <w:pStyle w:val="Body"/>
        <w:keepNext w:val="true"/>
        <w:keepLines/>
        <w:spacing w:lineRule="auto" w:line="240" w:before="0" w:after="0"/>
        <w:rPr/>
      </w:pPr>
      <w:r>
        <w:rPr/>
        <w:tab/>
        <w:tab/>
        <w:tab/>
        <w:tab/>
        <w:t>LAW OFFICES OF DANIEL W. DOUGLASS</w:t>
      </w:r>
    </w:p>
    <w:p>
      <w:pPr>
        <w:pStyle w:val="Body"/>
        <w:spacing w:lineRule="auto" w:line="240" w:before="0" w:after="0"/>
        <w:rPr/>
      </w:pPr>
      <w:r>
        <w:rPr/>
        <w:tab/>
        <w:tab/>
        <w:tab/>
        <w:tab/>
        <w:tab/>
      </w:r>
    </w:p>
    <w:p>
      <w:pPr>
        <w:pStyle w:val="Body"/>
        <w:spacing w:lineRule="auto" w:line="240" w:before="0" w:after="0"/>
        <w:rPr/>
      </w:pPr>
      <w:r>
        <w:rPr/>
        <w:tab/>
        <w:tab/>
        <w:tab/>
        <w:tab/>
        <w:t>ARTER &amp; HADDEN LLP</w:t>
      </w:r>
    </w:p>
    <w:p>
      <w:pPr>
        <w:pStyle w:val="Body"/>
        <w:spacing w:lineRule="auto" w:line="240" w:before="0" w:after="0"/>
        <w:rPr/>
      </w:pPr>
      <w:r>
        <w:rPr/>
        <w:tab/>
        <w:tab/>
        <w:tab/>
        <w:tab/>
        <w:t>EDWIN W. DUNCAN</w:t>
      </w:r>
    </w:p>
    <w:p>
      <w:pPr>
        <w:pStyle w:val="Body"/>
        <w:spacing w:lineRule="auto" w:line="240" w:before="0" w:after="0"/>
        <w:rPr/>
      </w:pPr>
      <w:r>
        <w:rPr/>
      </w:r>
    </w:p>
    <w:p>
      <w:pPr>
        <w:pStyle w:val="Body"/>
        <w:spacing w:lineRule="auto" w:line="240" w:before="0" w:after="0"/>
        <w:rPr/>
      </w:pPr>
      <w:r>
        <w:rPr/>
      </w:r>
    </w:p>
    <w:p>
      <w:pPr>
        <w:pStyle w:val="Body"/>
        <w:spacing w:lineRule="auto" w:line="240" w:before="0" w:after="0"/>
        <w:rPr/>
      </w:pPr>
      <w:r>
        <w:rPr/>
      </w:r>
    </w:p>
    <w:p>
      <w:pPr>
        <w:pStyle w:val="Body"/>
        <w:spacing w:lineRule="auto" w:line="240" w:before="0" w:after="0"/>
        <w:rPr/>
      </w:pPr>
      <w:r>
        <w:rPr/>
        <w:tab/>
        <w:tab/>
        <w:tab/>
        <w:tab/>
        <w:t xml:space="preserve">By:  </w:t>
      </w:r>
      <w:r>
        <w:rPr>
          <w:u w:val="single"/>
        </w:rPr>
        <w:tab/>
        <w:tab/>
        <w:tab/>
        <w:tab/>
        <w:tab/>
        <w:tab/>
      </w:r>
    </w:p>
    <w:p>
      <w:pPr>
        <w:pStyle w:val="Body"/>
        <w:spacing w:lineRule="auto" w:line="240" w:before="0" w:after="0"/>
        <w:ind w:start="4320" w:end="0"/>
        <w:rPr/>
      </w:pPr>
      <w:r>
        <w:rPr/>
        <w:t>EDWIN W. DUNCAN</w:t>
      </w:r>
    </w:p>
    <w:p>
      <w:pPr>
        <w:pStyle w:val="Body"/>
        <w:spacing w:lineRule="auto" w:line="240" w:before="0" w:after="0"/>
        <w:ind w:hanging="0" w:start="3600" w:end="0"/>
        <w:rPr/>
      </w:pPr>
      <w:r>
        <w:rPr/>
        <w:t>Attorneys for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p>
      <w:pPr>
        <w:pStyle w:val="Body"/>
        <w:rPr/>
      </w:pPr>
      <w:r>
        <w:rPr/>
      </w:r>
    </w:p>
    <w:p>
      <w:pPr>
        <w:pStyle w:val="Body"/>
        <w:rPr/>
      </w:pPr>
      <w:r>
        <w:rPr/>
      </w:r>
    </w:p>
    <w:p>
      <w:pPr>
        <w:pStyle w:val="Normal"/>
        <w:spacing w:lineRule="auto" w:line="480"/>
        <w:rPr>
          <w:b w:val="false"/>
          <w:bCs w:val="false"/>
        </w:rPr>
      </w:pPr>
      <w:r>
        <w:rPr>
          <w:b w:val="false"/>
          <w:bCs w:val="false"/>
        </w:rPr>
      </w:r>
      <w:r>
        <w:br w:type="page"/>
      </w:r>
    </w:p>
    <w:p>
      <w:pPr>
        <w:pStyle w:val="Normal"/>
        <w:spacing w:lineRule="auto" w:line="480"/>
        <w:jc w:val="center"/>
        <w:rPr>
          <w:b w:val="false"/>
          <w:bCs w:val="false"/>
        </w:rPr>
      </w:pPr>
      <w:r>
        <w:rPr>
          <w:u w:val="single"/>
        </w:rPr>
        <w:t>MEMORANDUM OF POINTS AND AUTHORITIES</w:t>
      </w:r>
    </w:p>
    <w:p>
      <w:pPr>
        <w:pStyle w:val="Heading1"/>
        <w:tabs>
          <w:tab w:val="clear" w:pos="720"/>
          <w:tab w:val="left" w:pos="0" w:leader="none"/>
        </w:tabs>
        <w:ind w:hanging="0" w:start="0"/>
        <w:rPr/>
      </w:pPr>
      <w:r>
        <w:rPr/>
        <w:br/>
        <w:t>INTRODUCTION</w:t>
      </w:r>
    </w:p>
    <w:p>
      <w:pPr>
        <w:pStyle w:val="Body"/>
        <w:rPr/>
      </w:pPr>
      <w:r>
        <w:rPr/>
        <w:t>Petitioners have filed a Petition for Writ of Review from Decision 01-10-036 of the California Public Utilities Commission (“Commission”) dated October 10, 2001, denying Petitioners’ Application for Rehearing of Commission Decision 01-09-060 dated September 20, 2001.  These Decisions concern the suspension of the right of Petitioners, as well as all Californians, to enter into contracts allowing the purchase of electricity from energy service providers other than the utilities regulated by the Commission.</w:t>
      </w:r>
    </w:p>
    <w:p>
      <w:pPr>
        <w:pStyle w:val="Body"/>
        <w:rPr/>
      </w:pPr>
      <w:r>
        <w:rPr/>
        <w:t>The Supreme Court has original and exclusive jurisdiction pursuant to section 1768(a) of the Public Utilities Code.</w:t>
      </w:r>
    </w:p>
    <w:p>
      <w:pPr>
        <w:pStyle w:val="Body"/>
        <w:rPr/>
      </w:pPr>
      <w:r>
        <w:rPr/>
        <w:t>Petitioners request judicial notice of the documents attached hereto because they are referred to and quoted in parts of the Commission’s record.  By having copies of the documents, rather than selected quotes, the Supreme Court will be better able to understand the Commission’s proceeding which is the subject of the Petition for Writ of Review.  As dis-cussed hereafter, each document is subject to judicial notice.</w:t>
      </w:r>
    </w:p>
    <w:p>
      <w:pPr>
        <w:pStyle w:val="Heading1"/>
        <w:tabs>
          <w:tab w:val="clear" w:pos="720"/>
          <w:tab w:val="left" w:pos="0" w:leader="none"/>
        </w:tabs>
        <w:ind w:hanging="0" w:start="0"/>
        <w:rPr/>
      </w:pPr>
      <w:r>
        <w:rPr/>
        <w:br/>
        <w:t>JUDICIAL NOTICE IS PROPER</w:t>
      </w:r>
    </w:p>
    <w:p>
      <w:pPr>
        <w:pStyle w:val="Body"/>
        <w:rPr/>
      </w:pPr>
      <w:r>
        <w:rPr/>
        <w:t>Evidence Code section 459(a) authorizes the Supreme Court on motion to judicially notice a matter specified in Evidence Code section 452.  Each of the documents described below is entitled to judicial notice under section 452.</w:t>
      </w:r>
    </w:p>
    <w:p>
      <w:pPr>
        <w:pStyle w:val="Body"/>
        <w:rPr/>
      </w:pPr>
      <w:r>
        <w:rPr/>
      </w:r>
    </w:p>
    <w:p>
      <w:pPr>
        <w:pStyle w:val="Body"/>
        <w:keepNext w:val="true"/>
        <w:spacing w:before="0" w:after="0"/>
        <w:ind w:hanging="0" w:end="0"/>
        <w:jc w:val="center"/>
        <w:rPr>
          <w:u w:val="single"/>
        </w:rPr>
      </w:pPr>
      <w:r>
        <w:rPr>
          <w:u w:val="single"/>
        </w:rPr>
        <w:t>SENATE CONCURRENT RESOLUTION NO. 46</w:t>
      </w:r>
    </w:p>
    <w:p>
      <w:pPr>
        <w:pStyle w:val="Body"/>
        <w:rPr/>
      </w:pPr>
      <w:r>
        <w:rPr/>
        <w:t>Judicial notice is proper pursuant to section 452(a) of the Evidence Code because the document is a Resolution of the California State Senate.  Resolution No. 46 is discussed in the Commission’s record, but not otherwise made part of it.</w:t>
      </w:r>
    </w:p>
    <w:p>
      <w:pPr>
        <w:pStyle w:val="Body"/>
        <w:rPr/>
      </w:pPr>
      <w:r>
        <w:rPr/>
      </w:r>
    </w:p>
    <w:p>
      <w:pPr>
        <w:pStyle w:val="Body"/>
        <w:jc w:val="center"/>
        <w:rPr>
          <w:u w:val="single"/>
        </w:rPr>
      </w:pPr>
      <w:r>
        <w:rPr>
          <w:u w:val="single"/>
        </w:rPr>
        <w:t>ABX2 9</w:t>
      </w:r>
    </w:p>
    <w:p>
      <w:pPr>
        <w:pStyle w:val="Body"/>
        <w:rPr/>
      </w:pPr>
      <w:r>
        <w:rPr/>
        <w:t>This is a bill which was passed on September 13, 2001 and vetoed on October 14, 2001.  It is subject to judicial notice under section 452(c) of the Evidence Code.  ABX2 9 is discussed in the Commission’s record, but a copy of the Bill was not included in the record.</w:t>
      </w:r>
    </w:p>
    <w:p>
      <w:pPr>
        <w:pStyle w:val="Body"/>
        <w:rPr/>
      </w:pPr>
      <w:r>
        <w:rPr/>
      </w:r>
    </w:p>
    <w:p>
      <w:pPr>
        <w:pStyle w:val="Body"/>
        <w:jc w:val="center"/>
        <w:rPr>
          <w:u w:val="single"/>
        </w:rPr>
      </w:pPr>
      <w:r>
        <w:rPr>
          <w:u w:val="single"/>
        </w:rPr>
        <w:t>GOVERNOR DAVIS’ PROCLAMATION</w:t>
      </w:r>
    </w:p>
    <w:p>
      <w:pPr>
        <w:pStyle w:val="Body"/>
        <w:rPr/>
      </w:pPr>
      <w:r>
        <w:rPr/>
        <w:t xml:space="preserve">Judicial notice is proper pursuant to section 452(c) because the Proclamation is an official act of the executive department of California.  The Proclamation is discussed in the Commission’s records, but a copy was not included.  </w:t>
      </w:r>
    </w:p>
    <w:p>
      <w:pPr>
        <w:pStyle w:val="Body"/>
        <w:rPr/>
      </w:pPr>
      <w:r>
        <w:rPr/>
      </w:r>
    </w:p>
    <w:p>
      <w:pPr>
        <w:pStyle w:val="Body"/>
        <w:jc w:val="center"/>
        <w:rPr>
          <w:u w:val="single"/>
        </w:rPr>
      </w:pPr>
      <w:r>
        <w:rPr>
          <w:u w:val="single"/>
        </w:rPr>
        <w:t>CPUC DECISION 95-12-063 AS MODIFIED BY DECISION 96-01-009</w:t>
      </w:r>
    </w:p>
    <w:p>
      <w:pPr>
        <w:pStyle w:val="Body"/>
        <w:rPr/>
      </w:pPr>
      <w:r>
        <w:rPr/>
        <w:t>Judicial notice is proper pursuant to section 452(c) because the Decision is an official act of the Commission.  Since the Decision is in excess of 150 pages in length, judicial notice is requested of only the first three pages which discuss the hearing process the Commission followed.  These facts are discussed in the Commission record, but the Decision was not otherwise included.</w:t>
      </w:r>
    </w:p>
    <w:p>
      <w:pPr>
        <w:pStyle w:val="Heading1"/>
        <w:tabs>
          <w:tab w:val="clear" w:pos="720"/>
          <w:tab w:val="left" w:pos="0" w:leader="none"/>
        </w:tabs>
        <w:ind w:hanging="0" w:start="0"/>
        <w:rPr>
          <w:b w:val="false"/>
          <w:bCs w:val="false"/>
        </w:rPr>
      </w:pPr>
      <w:r>
        <w:rPr/>
        <w:br/>
        <w:t>CONCLUSION</w:t>
      </w:r>
    </w:p>
    <w:p>
      <w:pPr>
        <w:pStyle w:val="Body"/>
        <w:keepNext w:val="true"/>
        <w:keepLines/>
        <w:rPr/>
      </w:pPr>
      <w:r>
        <w:rPr/>
        <w:t>For the reasons discussed above, judicial notice of each document is proper and this Motion should be granted.</w:t>
      </w:r>
    </w:p>
    <w:p>
      <w:pPr>
        <w:pStyle w:val="Body"/>
        <w:keepNext w:val="true"/>
        <w:keepLines/>
        <w:rPr/>
      </w:pPr>
      <w:r>
        <w:rPr/>
      </w:r>
    </w:p>
    <w:p>
      <w:pPr>
        <w:pStyle w:val="Body"/>
        <w:keepNext w:val="true"/>
        <w:keepLines/>
        <w:spacing w:lineRule="auto" w:line="240"/>
        <w:ind w:hanging="0" w:end="0"/>
        <w:rPr/>
      </w:pPr>
      <w:r>
        <w:rPr/>
        <w:t>DATED: November 8, 2001</w:t>
        <w:tab/>
        <w:t>Respectfully submitted,</w:t>
      </w:r>
    </w:p>
    <w:p>
      <w:pPr>
        <w:pStyle w:val="Body"/>
        <w:spacing w:lineRule="auto" w:line="240"/>
        <w:rPr/>
      </w:pPr>
      <w:r>
        <w:rPr/>
      </w:r>
    </w:p>
    <w:p>
      <w:pPr>
        <w:pStyle w:val="Body"/>
        <w:spacing w:lineRule="auto" w:line="240" w:before="0" w:after="0"/>
        <w:rPr/>
      </w:pPr>
      <w:r>
        <w:rPr/>
        <w:tab/>
        <w:tab/>
        <w:tab/>
        <w:tab/>
        <w:t>DANIEL W. DOUGLASS</w:t>
      </w:r>
    </w:p>
    <w:p>
      <w:pPr>
        <w:pStyle w:val="Body"/>
        <w:spacing w:lineRule="auto" w:line="240" w:before="0" w:after="0"/>
        <w:rPr/>
      </w:pPr>
      <w:r>
        <w:rPr/>
        <w:tab/>
        <w:tab/>
        <w:tab/>
        <w:tab/>
        <w:t>LAW OFFICES OF DANIEL W. DOUGLASS</w:t>
      </w:r>
    </w:p>
    <w:p>
      <w:pPr>
        <w:pStyle w:val="Body"/>
        <w:spacing w:lineRule="auto" w:line="240" w:before="0" w:after="0"/>
        <w:rPr/>
      </w:pPr>
      <w:r>
        <w:rPr/>
        <w:tab/>
        <w:tab/>
        <w:tab/>
        <w:tab/>
        <w:tab/>
      </w:r>
    </w:p>
    <w:p>
      <w:pPr>
        <w:pStyle w:val="Body"/>
        <w:spacing w:lineRule="auto" w:line="240" w:before="0" w:after="0"/>
        <w:rPr/>
      </w:pPr>
      <w:r>
        <w:rPr/>
        <w:tab/>
        <w:tab/>
        <w:tab/>
        <w:tab/>
        <w:t>ARTER &amp; HADDEN LLP</w:t>
      </w:r>
    </w:p>
    <w:p>
      <w:pPr>
        <w:pStyle w:val="Body"/>
        <w:spacing w:lineRule="auto" w:line="240" w:before="0" w:after="0"/>
        <w:rPr/>
      </w:pPr>
      <w:r>
        <w:rPr/>
        <w:tab/>
        <w:tab/>
        <w:tab/>
        <w:tab/>
        <w:t>EDWIN W. DUNCAN</w:t>
      </w:r>
    </w:p>
    <w:p>
      <w:pPr>
        <w:pStyle w:val="Body"/>
        <w:spacing w:lineRule="auto" w:line="240"/>
        <w:rPr/>
      </w:pPr>
      <w:r>
        <w:rPr/>
      </w:r>
    </w:p>
    <w:p>
      <w:pPr>
        <w:pStyle w:val="Body"/>
        <w:spacing w:lineRule="auto" w:line="240" w:before="0" w:after="120"/>
        <w:rPr/>
      </w:pPr>
      <w:r>
        <w:rPr/>
        <w:tab/>
        <w:tab/>
        <w:tab/>
        <w:tab/>
        <w:t xml:space="preserve">By:  </w:t>
      </w:r>
      <w:r>
        <w:rPr>
          <w:u w:val="single"/>
        </w:rPr>
        <w:tab/>
        <w:tab/>
        <w:tab/>
        <w:tab/>
        <w:tab/>
        <w:tab/>
      </w:r>
    </w:p>
    <w:p>
      <w:pPr>
        <w:pStyle w:val="Body"/>
        <w:spacing w:lineRule="auto" w:line="240" w:before="0" w:after="0"/>
        <w:ind w:start="4320" w:end="0"/>
        <w:rPr/>
      </w:pPr>
      <w:r>
        <w:rPr/>
        <w:t>EDWIN W. DUNCAN</w:t>
      </w:r>
    </w:p>
    <w:p>
      <w:pPr>
        <w:pStyle w:val="Body"/>
        <w:spacing w:lineRule="auto" w:line="240" w:before="0" w:after="0"/>
        <w:ind w:hanging="0" w:start="3600" w:end="0"/>
        <w:rPr/>
      </w:pPr>
      <w:r>
        <w:rPr/>
        <w:t>Attorneys for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p>
      <w:pPr>
        <w:pStyle w:val="Body"/>
        <w:rPr/>
      </w:pPr>
      <w:r>
        <w:rPr/>
      </w:r>
      <w:r>
        <w:br w:type="page"/>
      </w:r>
    </w:p>
    <w:p>
      <w:pPr>
        <w:pStyle w:val="Body"/>
        <w:jc w:val="center"/>
        <w:rPr>
          <w:b/>
          <w:bCs/>
          <w:u w:val="single"/>
        </w:rPr>
      </w:pPr>
      <w:r>
        <w:rPr>
          <w:b/>
          <w:bCs/>
          <w:u w:val="single"/>
        </w:rPr>
        <w:t>ORDER</w:t>
      </w:r>
    </w:p>
    <w:p>
      <w:pPr>
        <w:pStyle w:val="Body"/>
        <w:rPr/>
      </w:pPr>
      <w:r>
        <w:rPr/>
        <w:t>The Motion of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 for judicial notice is granted.</w:t>
      </w:r>
    </w:p>
    <w:p>
      <w:pPr>
        <w:pStyle w:val="Body"/>
        <w:ind w:hanging="0" w:end="0"/>
        <w:rPr/>
      </w:pPr>
      <w:r>
        <w:rPr/>
      </w:r>
    </w:p>
    <w:p>
      <w:pPr>
        <w:pStyle w:val="Body"/>
        <w:spacing w:lineRule="auto" w:line="240"/>
        <w:ind w:hanging="0" w:end="0"/>
        <w:rPr/>
      </w:pPr>
      <w:r>
        <w:rPr/>
        <w:t xml:space="preserve">DATED:  </w:t>
      </w:r>
      <w:r>
        <w:rPr>
          <w:u w:val="single"/>
        </w:rPr>
        <w:tab/>
        <w:tab/>
        <w:tab/>
        <w:tab/>
      </w:r>
      <w:r>
        <w:rPr/>
        <w:tab/>
      </w:r>
      <w:r>
        <w:rPr>
          <w:u w:val="single"/>
        </w:rPr>
        <w:tab/>
        <w:tab/>
        <w:tab/>
        <w:tab/>
        <w:tab/>
        <w:tab/>
      </w:r>
    </w:p>
    <w:p>
      <w:pPr>
        <w:pStyle w:val="Body"/>
        <w:spacing w:lineRule="auto" w:line="240" w:before="0" w:after="240"/>
        <w:ind w:hanging="0" w:end="0"/>
        <w:rPr/>
      </w:pPr>
      <w:r>
        <w:rPr/>
        <w:tab/>
        <w:tab/>
        <w:tab/>
        <w:tab/>
        <w:tab/>
        <w:tab/>
        <w:t>PRESIDING JUSTICE</w:t>
      </w:r>
    </w:p>
    <w:sectPr>
      <w:headerReference w:type="default" r:id="rId4"/>
      <w:headerReference w:type="first" r:id="rId5"/>
      <w:footerReference w:type="default" r:id="rId6"/>
      <w:footerReference w:type="first" r:id="rId7"/>
      <w:type w:val="nextPage"/>
      <w:pgSz w:w="12240" w:h="15840"/>
      <w:pgMar w:left="1800" w:right="1440" w:gutter="0" w:header="461" w:top="1354" w:footer="360" w:bottom="1008"/>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rPr>
              <w:b w:val="false"/>
              <w:bCs w:val="false"/>
            </w:rPr>
          </w:pPr>
          <w:r>
            <w:rPr>
              <w:b w:val="false"/>
              <w:bCs w:val="false"/>
            </w:rPr>
            <w:t>66225.1</w:t>
          </w:r>
        </w:p>
        <w:p>
          <w:pPr>
            <w:pStyle w:val="FooterTxt"/>
            <w:rPr>
              <w:b w:val="false"/>
              <w:bCs w:val="false"/>
            </w:rPr>
          </w:pPr>
          <w:r>
            <w:rPr>
              <w:b w:val="false"/>
              <w:bCs w:val="false"/>
            </w:rPr>
            <w:t>72868/14937</w:t>
          </w:r>
        </w:p>
        <w:p>
          <w:pPr>
            <w:pStyle w:val="FooterTxt"/>
            <w:rPr>
              <w:b w:val="false"/>
              <w:bCs w:val="false"/>
            </w:rPr>
          </w:pPr>
          <w:r>
            <w:rPr>
              <w:b w:val="false"/>
              <w:bCs w:val="false"/>
            </w:rPr>
          </w:r>
        </w:p>
      </w:tc>
      <w:tc>
        <w:tcPr>
          <w:tcW w:w="1987" w:type="dxa"/>
          <w:tcBorders/>
        </w:tcPr>
        <w:p>
          <w:pPr>
            <w:pStyle w:val="Normal"/>
            <w:snapToGrid w:val="false"/>
            <w:jc w:val="center"/>
            <w:rPr>
              <w:b w:val="false"/>
              <w:bCs w:val="false"/>
            </w:rPr>
          </w:pPr>
          <w:r>
            <w:rPr>
              <w:b w:val="false"/>
              <w:bCs w:val="false"/>
            </w:rPr>
          </w:r>
        </w:p>
      </w:tc>
      <w:tc>
        <w:tcPr>
          <w:tcW w:w="3690" w:type="dxa"/>
          <w:tcBorders/>
        </w:tcPr>
        <w:p>
          <w:pPr>
            <w:pStyle w:val="Normal"/>
            <w:snapToGrid w:val="false"/>
            <w:jc w:val="end"/>
            <w:rPr>
              <w:b w:val="false"/>
              <w:bCs w:val="false"/>
            </w:rPr>
          </w:pPr>
          <w:r>
            <w:rPr>
              <w:b w:val="false"/>
              <w:bCs w:val="false"/>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rPr>
              <w:b w:val="false"/>
              <w:bCs w:val="false"/>
            </w:rPr>
          </w:pPr>
          <w:r>
            <w:rPr>
              <w:b w:val="false"/>
              <w:bCs w:val="false"/>
            </w:rPr>
            <w:t>66225.1</w:t>
          </w:r>
        </w:p>
        <w:p>
          <w:pPr>
            <w:pStyle w:val="FooterTxt"/>
            <w:rPr>
              <w:b w:val="false"/>
              <w:bCs w:val="false"/>
            </w:rPr>
          </w:pPr>
          <w:r>
            <w:rPr>
              <w:b w:val="false"/>
              <w:bCs w:val="false"/>
            </w:rPr>
            <w:t>72868/14937</w:t>
          </w:r>
        </w:p>
      </w:tc>
      <w:tc>
        <w:tcPr>
          <w:tcW w:w="1987" w:type="dxa"/>
          <w:tcBorders/>
        </w:tcPr>
        <w:p>
          <w:pPr>
            <w:pStyle w:val="Normal"/>
            <w:snapToGrid w:val="false"/>
            <w:jc w:val="center"/>
            <w:rPr>
              <w:b w:val="false"/>
              <w:bCs w:val="false"/>
            </w:rPr>
          </w:pPr>
          <w:r>
            <w:rPr>
              <w:b w:val="false"/>
              <w:bCs w:val="false"/>
            </w:rPr>
          </w:r>
        </w:p>
      </w:tc>
      <w:tc>
        <w:tcPr>
          <w:tcW w:w="3686" w:type="dxa"/>
          <w:tcBorders/>
        </w:tcPr>
        <w:p>
          <w:pPr>
            <w:pStyle w:val="Normal"/>
            <w:snapToGrid w:val="false"/>
            <w:jc w:val="end"/>
            <w:rPr>
              <w:b w:val="false"/>
              <w:bCs w:val="false"/>
            </w:rPr>
          </w:pPr>
          <w:r>
            <w:rPr>
              <w:b w:val="false"/>
              <w:bCs w:val="false"/>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b/>
      <w:bCs/>
      <w:color w:val="auto"/>
      <w:sz w:val="24"/>
      <w:szCs w:val="24"/>
      <w:lang w:val="en-US" w:eastAsia="zh-CN" w:bidi="hi-IN"/>
    </w:rPr>
  </w:style>
  <w:style w:type="paragraph" w:styleId="Heading1">
    <w:name w:val="heading 1"/>
    <w:basedOn w:val="Normal"/>
    <w:next w:val="Normal"/>
    <w:qFormat/>
    <w:pPr>
      <w:keepNext w:val="true"/>
      <w:keepLines/>
      <w:numPr>
        <w:ilvl w:val="0"/>
        <w:numId w:val="1"/>
      </w:numPr>
      <w:spacing w:lineRule="auto" w:line="360"/>
      <w:jc w:val="center"/>
      <w:outlineLvl w:val="0"/>
    </w:pPr>
    <w:rPr/>
  </w:style>
  <w:style w:type="paragraph" w:styleId="Heading2">
    <w:name w:val="heading 2"/>
    <w:basedOn w:val="Normal"/>
    <w:next w:val="Normal"/>
    <w:qFormat/>
    <w:pPr>
      <w:numPr>
        <w:ilvl w:val="1"/>
        <w:numId w:val="1"/>
      </w:numPr>
      <w:spacing w:lineRule="auto" w:line="480"/>
      <w:ind w:hanging="720" w:start="0" w:end="0"/>
      <w:outlineLvl w:val="1"/>
    </w:pPr>
    <w:rPr/>
  </w:style>
  <w:style w:type="paragraph" w:styleId="Heading3">
    <w:name w:val="heading 3"/>
    <w:basedOn w:val="Normal"/>
    <w:next w:val="Normal"/>
    <w:qFormat/>
    <w:pPr>
      <w:numPr>
        <w:ilvl w:val="2"/>
        <w:numId w:val="1"/>
      </w:numPr>
      <w:spacing w:lineRule="auto" w:line="480"/>
      <w:outlineLvl w:val="2"/>
    </w:pPr>
    <w:rPr/>
  </w:style>
  <w:style w:type="paragraph" w:styleId="Heading4">
    <w:name w:val="heading 4"/>
    <w:basedOn w:val="Normal"/>
    <w:next w:val="Normal"/>
    <w:qFormat/>
    <w:pPr>
      <w:numPr>
        <w:ilvl w:val="3"/>
        <w:numId w:val="1"/>
      </w:numPr>
      <w:spacing w:lineRule="auto" w:line="480"/>
      <w:ind w:firstLine="720" w:start="0" w:end="0"/>
      <w:outlineLvl w:val="3"/>
    </w:pPr>
    <w:rPr/>
  </w:style>
  <w:style w:type="paragraph" w:styleId="Heading5">
    <w:name w:val="heading 5"/>
    <w:basedOn w:val="Normal"/>
    <w:next w:val="Normal"/>
    <w:qFormat/>
    <w:pPr>
      <w:numPr>
        <w:ilvl w:val="4"/>
        <w:numId w:val="1"/>
      </w:numPr>
      <w:spacing w:lineRule="auto" w:line="480"/>
      <w:ind w:firstLine="1440" w:start="0" w:end="0"/>
      <w:outlineLvl w:val="4"/>
    </w:pPr>
    <w:rPr/>
  </w:style>
  <w:style w:type="paragraph" w:styleId="Heading6">
    <w:name w:val="heading 6"/>
    <w:basedOn w:val="Normal"/>
    <w:next w:val="Normal"/>
    <w:qFormat/>
    <w:pPr>
      <w:numPr>
        <w:ilvl w:val="5"/>
        <w:numId w:val="1"/>
      </w:numPr>
      <w:spacing w:lineRule="auto" w:line="480"/>
      <w:ind w:firstLine="2160" w:start="0" w:end="0"/>
      <w:outlineLvl w:val="5"/>
    </w:pPr>
    <w:rPr/>
  </w:style>
  <w:style w:type="paragraph" w:styleId="Heading7">
    <w:name w:val="heading 7"/>
    <w:basedOn w:val="Normal"/>
    <w:next w:val="Normal"/>
    <w:qFormat/>
    <w:pPr>
      <w:numPr>
        <w:ilvl w:val="6"/>
        <w:numId w:val="1"/>
      </w:numPr>
      <w:spacing w:lineRule="auto" w:line="480"/>
      <w:ind w:firstLine="2880" w:start="0" w:end="0"/>
      <w:outlineLvl w:val="6"/>
    </w:pPr>
    <w:rPr/>
  </w:style>
  <w:style w:type="paragraph" w:styleId="Heading8">
    <w:name w:val="heading 8"/>
    <w:basedOn w:val="Normal"/>
    <w:next w:val="Normal"/>
    <w:qFormat/>
    <w:pPr>
      <w:numPr>
        <w:ilvl w:val="7"/>
        <w:numId w:val="1"/>
      </w:numPr>
      <w:spacing w:lineRule="auto" w:line="480"/>
      <w:ind w:firstLine="3600" w:start="0" w:end="0"/>
      <w:outlineLvl w:val="7"/>
    </w:pPr>
    <w:rPr/>
  </w:style>
  <w:style w:type="paragraph" w:styleId="Heading9">
    <w:name w:val="heading 9"/>
    <w:basedOn w:val="Normal"/>
    <w:next w:val="Normal"/>
    <w:qFormat/>
    <w:pPr>
      <w:numPr>
        <w:ilvl w:val="8"/>
        <w:numId w:val="1"/>
      </w:numPr>
      <w:spacing w:lineRule="auto" w:line="480"/>
      <w:ind w:firstLine="4320" w:start="0" w:end="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lineRule="auto" w:line="360" w:before="0" w:after="240"/>
      <w:ind w:firstLine="720" w:start="0" w:end="0"/>
    </w:pPr>
    <w:rPr>
      <w:b w:val="false"/>
      <w:bCs w:val="false"/>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EnvelopeAddress">
    <w:name w:val="envelope address"/>
    <w:basedOn w:val="Normal"/>
    <w:pPr>
      <w:ind w:hanging="0" w:start="2880" w:end="0"/>
    </w:pPr>
    <w:rPr>
      <w:b w:val="false"/>
      <w:bCs w:val="false"/>
    </w:rPr>
  </w:style>
  <w:style w:type="paragraph" w:styleId="Body1">
    <w:name w:val="Body1"/>
    <w:basedOn w:val="Normal"/>
    <w:qFormat/>
    <w:pPr>
      <w:spacing w:before="0" w:after="240"/>
      <w:ind w:firstLine="1440" w:start="0" w:end="0"/>
    </w:pPr>
    <w:rPr/>
  </w:style>
  <w:style w:type="paragraph" w:styleId="DoubleSpacing">
    <w:name w:val="Double Spacing"/>
    <w:basedOn w:val="Normal"/>
    <w:qFormat/>
    <w:pPr>
      <w:widowControl w:val="false"/>
      <w:spacing w:lineRule="exact" w:line="480"/>
    </w:pPr>
    <w:rPr>
      <w:rFonts w:ascii="Times New Roman" w:hAnsi="Times New Roman" w:eastAsia="Times New Roman" w:cs="Times New Roman"/>
      <w:b w:val="false"/>
      <w:bCs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2001-11-12T15:05:00Z</dcterms:created>
  <dc:creator>Arter &amp; Hadden</dc:creator>
  <dc:description/>
  <dc:language>en-CA</dc:language>
  <cp:lastModifiedBy>Arter &amp; Hadden</cp:lastModifiedBy>
  <cp:lastPrinted>2001-11-08T15:18:00Z</cp:lastPrinted>
  <dcterms:modified xsi:type="dcterms:W3CDTF">2001-11-12T15:05:00Z</dcterms:modified>
  <cp:revision>2</cp:revision>
  <dc:subject/>
  <dc:title>____________</dc:title>
</cp:coreProperties>
</file>