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32"/>
        </w:rPr>
      </w:pPr>
      <w:r>
        <w:rPr>
          <w:sz w:val="32"/>
        </w:rPr>
        <w:t>JUAN P. PADRON</w:t>
      </w:r>
    </w:p>
    <w:p>
      <w:pPr>
        <w:pStyle w:val="Heading2"/>
        <w:ind w:hanging="0" w:start="0"/>
        <w:jc w:val="center"/>
        <w:rPr/>
      </w:pPr>
      <w:r>
        <w:rPr>
          <w:b w:val="false"/>
          <w:bCs/>
        </w:rPr>
        <w:t xml:space="preserve">806 </w:t>
      </w:r>
      <w:r>
        <w:rPr>
          <w:b w:val="false"/>
          <w:bCs/>
          <w:sz w:val="28"/>
        </w:rPr>
        <w:t>G</w:t>
      </w:r>
      <w:r>
        <w:rPr>
          <w:b w:val="false"/>
          <w:bCs/>
        </w:rPr>
        <w:t xml:space="preserve">ALE </w:t>
      </w:r>
      <w:r>
        <w:rPr>
          <w:b w:val="false"/>
          <w:bCs/>
          <w:sz w:val="28"/>
        </w:rPr>
        <w:t>S</w:t>
      </w:r>
      <w:r>
        <w:rPr>
          <w:b w:val="false"/>
          <w:bCs/>
        </w:rPr>
        <w:t>TREET</w:t>
      </w:r>
      <w:r>
        <w:rPr>
          <w:rFonts w:eastAsia="Symbol" w:cs="Symbol" w:ascii="Symbol" w:hAnsi="Symbol"/>
          <w:b w:val="false"/>
          <w:bCs/>
        </w:rPr>
        <w:sym w:font="Symbol" w:char="f0a8"/>
      </w:r>
      <w:r>
        <w:rPr>
          <w:b w:val="false"/>
          <w:bCs/>
          <w:sz w:val="28"/>
        </w:rPr>
        <w:t>H</w:t>
      </w:r>
      <w:r>
        <w:rPr>
          <w:b w:val="false"/>
          <w:bCs/>
        </w:rPr>
        <w:t xml:space="preserve">OUSTON, </w:t>
      </w:r>
      <w:r>
        <w:rPr>
          <w:b w:val="false"/>
          <w:bCs/>
          <w:sz w:val="28"/>
        </w:rPr>
        <w:t>T</w:t>
      </w:r>
      <w:r>
        <w:rPr>
          <w:b w:val="false"/>
          <w:bCs/>
        </w:rPr>
        <w:t>X  77009</w:t>
      </w:r>
    </w:p>
    <w:p>
      <w:pPr>
        <w:pStyle w:val="Normal"/>
        <w:jc w:val="center"/>
        <w:rPr>
          <w:bCs/>
          <w:sz w:val="22"/>
        </w:rPr>
      </w:pPr>
      <w:r>
        <w:rPr>
          <w:bCs/>
          <w:sz w:val="22"/>
        </w:rPr>
        <w:t>(713) 825-6359 / Email:borrachoborrachin@hotmail.com</w:t>
      </w:r>
    </w:p>
    <w:p>
      <w:pPr>
        <w:pStyle w:val="Heading5"/>
        <w:ind w:hanging="0" w:start="0"/>
        <w:rPr/>
      </w:pPr>
      <w:r>
        <w:rPr/>
      </w:r>
    </w:p>
    <w:p>
      <w:pPr>
        <w:pStyle w:val="Heading5"/>
        <w:ind w:hanging="0" w:start="0"/>
        <w:rPr/>
      </w:pPr>
      <w:r>
        <w:rPr/>
        <w:t>EDUCATION</w:t>
      </w:r>
    </w:p>
    <w:p>
      <w:pPr>
        <w:pStyle w:val="Normal"/>
        <w:rPr>
          <w:b/>
          <w:bCs/>
          <w:sz w:val="22"/>
        </w:rPr>
      </w:pPr>
      <w:r>
        <w:rPr>
          <w:b/>
          <w:bCs/>
          <w:sz w:val="22"/>
        </w:rPr>
        <w:t>Bachelor of Arts; May 2000; Cum Laude</w:t>
      </w:r>
    </w:p>
    <w:p>
      <w:pPr>
        <w:pStyle w:val="Normal"/>
        <w:rPr/>
      </w:pPr>
      <w:r>
        <w:rPr>
          <w:b/>
          <w:sz w:val="22"/>
        </w:rPr>
        <w:t>The University of Houston</w:t>
      </w:r>
      <w:r>
        <w:rPr>
          <w:sz w:val="22"/>
        </w:rPr>
        <w:t xml:space="preserve">, </w:t>
      </w:r>
      <w:r>
        <w:rPr>
          <w:b/>
          <w:sz w:val="22"/>
        </w:rPr>
        <w:t>Central Campus</w:t>
      </w:r>
      <w:r>
        <w:rPr>
          <w:sz w:val="22"/>
        </w:rPr>
        <w:t>, Houston, TX</w:t>
        <w:tab/>
      </w:r>
    </w:p>
    <w:p>
      <w:pPr>
        <w:pStyle w:val="Normal"/>
        <w:rPr/>
      </w:pPr>
      <w:r>
        <w:rPr>
          <w:b/>
          <w:bCs/>
          <w:sz w:val="22"/>
        </w:rPr>
        <w:t>Major:</w:t>
      </w:r>
      <w:r>
        <w:rPr>
          <w:sz w:val="22"/>
        </w:rPr>
        <w:t xml:space="preserve">  Economics </w:t>
      </w:r>
      <w:r>
        <w:rPr>
          <w:b/>
          <w:bCs/>
          <w:sz w:val="22"/>
        </w:rPr>
        <w:t>Minors:</w:t>
      </w:r>
      <w:r>
        <w:rPr>
          <w:sz w:val="22"/>
        </w:rPr>
        <w:t xml:space="preserve">  Spanish and Business Administration</w:t>
      </w:r>
    </w:p>
    <w:p>
      <w:pPr>
        <w:pStyle w:val="Normal"/>
        <w:rPr>
          <w:sz w:val="16"/>
        </w:rPr>
      </w:pPr>
      <w:r>
        <w:rPr>
          <w:sz w:val="16"/>
        </w:rPr>
      </w:r>
    </w:p>
    <w:p>
      <w:pPr>
        <w:pStyle w:val="Heading6"/>
        <w:ind w:hanging="0" w:start="0"/>
        <w:rPr/>
      </w:pPr>
      <w:r>
        <w:rPr/>
        <w:t>EXPERIENCE</w:t>
      </w:r>
    </w:p>
    <w:p>
      <w:pPr>
        <w:pStyle w:val="Normal"/>
        <w:rPr>
          <w:sz w:val="22"/>
        </w:rPr>
      </w:pPr>
      <w:r>
        <w:rPr>
          <w:b/>
          <w:bCs/>
          <w:sz w:val="22"/>
        </w:rPr>
        <w:t xml:space="preserve">Trading Analyst, Enron North America, </w:t>
      </w:r>
      <w:r>
        <w:rPr>
          <w:sz w:val="22"/>
        </w:rPr>
        <w:t>Houston, TX</w:t>
        <w:tab/>
        <w:tab/>
        <w:tab/>
        <w:tab/>
        <w:tab/>
      </w:r>
      <w:r>
        <w:rPr>
          <w:b/>
          <w:bCs/>
          <w:i/>
          <w:iCs/>
          <w:sz w:val="22"/>
        </w:rPr>
        <w:t>February 2001 to Present</w:t>
      </w:r>
    </w:p>
    <w:p>
      <w:pPr>
        <w:pStyle w:val="Normal"/>
        <w:numPr>
          <w:ilvl w:val="0"/>
          <w:numId w:val="3"/>
        </w:numPr>
        <w:tabs>
          <w:tab w:val="clear" w:pos="720"/>
          <w:tab w:val="left" w:pos="0" w:leader="none"/>
        </w:tabs>
        <w:ind w:hanging="360" w:start="360" w:end="0"/>
        <w:rPr>
          <w:b/>
        </w:rPr>
      </w:pPr>
      <w:r>
        <w:rPr>
          <w:bCs/>
        </w:rPr>
        <w:t xml:space="preserve">Traded and hedged over 12,000,000 MW hours of wholesale power and ICAP for Enron’s retail book in New York power pool;   </w:t>
      </w:r>
    </w:p>
    <w:p>
      <w:pPr>
        <w:pStyle w:val="Normal"/>
        <w:tabs>
          <w:tab w:val="clear" w:pos="720"/>
          <w:tab w:val="left" w:pos="360" w:leader="none"/>
        </w:tabs>
        <w:ind w:start="360" w:end="0"/>
        <w:rPr>
          <w:bCs/>
        </w:rPr>
      </w:pPr>
      <w:r>
        <w:rPr>
          <w:bCs/>
        </w:rPr>
        <w:t>managed physical and financial exposure for contracts extending as far out as 2011</w:t>
      </w:r>
    </w:p>
    <w:p>
      <w:pPr>
        <w:pStyle w:val="Normal"/>
        <w:numPr>
          <w:ilvl w:val="0"/>
          <w:numId w:val="3"/>
        </w:numPr>
        <w:tabs>
          <w:tab w:val="clear" w:pos="720"/>
          <w:tab w:val="left" w:pos="0" w:leader="none"/>
        </w:tabs>
        <w:ind w:hanging="0" w:start="0" w:end="0"/>
        <w:rPr>
          <w:b/>
        </w:rPr>
      </w:pPr>
      <w:r>
        <w:rPr>
          <w:bCs/>
        </w:rPr>
        <w:t>Managed forward curves for Enron’s retail pricing in NY, including ICAP, Ancillary Services, Losses, Congestion, and Spreads</w:t>
      </w:r>
    </w:p>
    <w:p>
      <w:pPr>
        <w:pStyle w:val="Normal"/>
        <w:numPr>
          <w:ilvl w:val="0"/>
          <w:numId w:val="3"/>
        </w:numPr>
        <w:tabs>
          <w:tab w:val="clear" w:pos="720"/>
          <w:tab w:val="left" w:pos="0" w:leader="none"/>
        </w:tabs>
        <w:ind w:hanging="360" w:start="360" w:end="0"/>
        <w:rPr>
          <w:b/>
        </w:rPr>
      </w:pPr>
      <w:r>
        <w:rPr/>
        <w:t xml:space="preserve">Traded real-time power and managed short-term physical power positions for the Midwest and Southeast Power Books  </w:t>
      </w:r>
    </w:p>
    <w:p>
      <w:pPr>
        <w:pStyle w:val="Normal"/>
        <w:numPr>
          <w:ilvl w:val="0"/>
          <w:numId w:val="3"/>
        </w:numPr>
        <w:tabs>
          <w:tab w:val="clear" w:pos="720"/>
          <w:tab w:val="left" w:pos="0" w:leader="none"/>
        </w:tabs>
        <w:ind w:hanging="0" w:start="0" w:end="0"/>
        <w:rPr>
          <w:b/>
        </w:rPr>
      </w:pPr>
      <w:r>
        <w:rPr>
          <w:bCs/>
        </w:rPr>
        <w:t>Dispatched Generation Asset according to market conditions</w:t>
      </w:r>
    </w:p>
    <w:p>
      <w:pPr>
        <w:pStyle w:val="Normal"/>
        <w:tabs>
          <w:tab w:val="clear" w:pos="720"/>
          <w:tab w:val="left" w:pos="0" w:leader="none"/>
        </w:tabs>
        <w:rPr>
          <w:b/>
          <w:bCs/>
        </w:rPr>
      </w:pPr>
      <w:r>
        <w:rPr>
          <w:b/>
          <w:bCs/>
        </w:rPr>
      </w:r>
    </w:p>
    <w:p>
      <w:pPr>
        <w:pStyle w:val="Normal"/>
        <w:tabs>
          <w:tab w:val="clear" w:pos="720"/>
          <w:tab w:val="left" w:pos="0" w:leader="none"/>
        </w:tabs>
        <w:rPr>
          <w:b/>
        </w:rPr>
      </w:pPr>
      <w:r>
        <w:rPr>
          <w:b/>
          <w:bCs/>
          <w:sz w:val="22"/>
        </w:rPr>
        <w:t xml:space="preserve">Analyst, Enron North America, </w:t>
      </w:r>
      <w:r>
        <w:rPr>
          <w:sz w:val="22"/>
        </w:rPr>
        <w:t>Houston, TX</w:t>
        <w:tab/>
        <w:tab/>
        <w:tab/>
        <w:tab/>
        <w:tab/>
        <w:tab/>
      </w:r>
      <w:r>
        <w:rPr>
          <w:b/>
          <w:bCs/>
          <w:i/>
          <w:iCs/>
          <w:sz w:val="22"/>
        </w:rPr>
        <w:t>August 2000 to January 2001</w:t>
      </w:r>
    </w:p>
    <w:p>
      <w:pPr>
        <w:pStyle w:val="Normal"/>
        <w:numPr>
          <w:ilvl w:val="0"/>
          <w:numId w:val="3"/>
        </w:numPr>
        <w:tabs>
          <w:tab w:val="clear" w:pos="720"/>
          <w:tab w:val="left" w:pos="360" w:leader="none"/>
        </w:tabs>
        <w:ind w:hanging="360" w:start="360" w:end="0"/>
        <w:rPr>
          <w:b/>
        </w:rPr>
      </w:pPr>
      <w:r>
        <w:rPr/>
        <w:t xml:space="preserve">Built a marginal cost model to simulate supply dispatch against forecasted demand to predict ERCOT power prices </w:t>
      </w:r>
    </w:p>
    <w:p>
      <w:pPr>
        <w:pStyle w:val="Normal"/>
        <w:numPr>
          <w:ilvl w:val="0"/>
          <w:numId w:val="3"/>
        </w:numPr>
        <w:tabs>
          <w:tab w:val="clear" w:pos="720"/>
          <w:tab w:val="left" w:pos="360" w:leader="none"/>
        </w:tabs>
        <w:ind w:hanging="360" w:start="360" w:end="0"/>
        <w:rPr>
          <w:b/>
        </w:rPr>
      </w:pPr>
      <w:r>
        <w:rPr/>
        <w:t>Created and automated reports that analyze power market fundamentals, including historical and forecasted supply stack, demand, weather variables, and commodity prices for the ERCOT power market. These reports facilitated informative trading decisions.</w:t>
      </w:r>
    </w:p>
    <w:p>
      <w:pPr>
        <w:pStyle w:val="Normal"/>
        <w:rPr>
          <w:b/>
          <w:sz w:val="16"/>
        </w:rPr>
      </w:pPr>
      <w:r>
        <w:rPr>
          <w:b/>
          <w:sz w:val="16"/>
        </w:rPr>
      </w:r>
    </w:p>
    <w:p>
      <w:pPr>
        <w:pStyle w:val="Normal"/>
        <w:rPr>
          <w:sz w:val="22"/>
        </w:rPr>
      </w:pPr>
      <w:r>
        <w:rPr>
          <w:b/>
          <w:bCs/>
          <w:sz w:val="22"/>
        </w:rPr>
        <w:t>Analyst Intern, Enron Energy Services &amp; Enron International</w:t>
      </w:r>
      <w:r>
        <w:rPr>
          <w:sz w:val="22"/>
        </w:rPr>
        <w:t xml:space="preserve">, Houston TX  &amp;  Buenos Aires  </w:t>
      </w:r>
      <w:r>
        <w:rPr>
          <w:b/>
          <w:bCs/>
          <w:i/>
          <w:iCs/>
          <w:sz w:val="22"/>
        </w:rPr>
        <w:t>July 1996 - July 2000</w:t>
      </w:r>
    </w:p>
    <w:p>
      <w:pPr>
        <w:pStyle w:val="Normal"/>
        <w:numPr>
          <w:ilvl w:val="0"/>
          <w:numId w:val="3"/>
        </w:numPr>
        <w:tabs>
          <w:tab w:val="clear" w:pos="720"/>
          <w:tab w:val="left" w:pos="360" w:leader="none"/>
        </w:tabs>
        <w:ind w:hanging="360" w:start="360" w:end="0"/>
        <w:rPr>
          <w:b/>
        </w:rPr>
      </w:pPr>
      <w:r>
        <w:rPr/>
        <w:t>Created and maintained pricing models for the delivery of power and gas commodities in the European markets</w:t>
      </w:r>
    </w:p>
    <w:p>
      <w:pPr>
        <w:pStyle w:val="Normal"/>
        <w:numPr>
          <w:ilvl w:val="0"/>
          <w:numId w:val="3"/>
        </w:numPr>
        <w:tabs>
          <w:tab w:val="clear" w:pos="720"/>
          <w:tab w:val="left" w:pos="270" w:leader="none"/>
        </w:tabs>
        <w:ind w:hanging="360" w:start="360" w:end="0"/>
        <w:rPr>
          <w:b/>
        </w:rPr>
      </w:pPr>
      <w:r>
        <w:rPr/>
        <w:t>Priced and structured power and gas transactions for the European and Argentine markets involving the use of DCF analysis and innovative financial/derivative arrangements</w:t>
      </w:r>
    </w:p>
    <w:p>
      <w:pPr>
        <w:pStyle w:val="Normal"/>
        <w:numPr>
          <w:ilvl w:val="0"/>
          <w:numId w:val="3"/>
        </w:numPr>
        <w:tabs>
          <w:tab w:val="clear" w:pos="720"/>
          <w:tab w:val="left" w:pos="360" w:leader="none"/>
        </w:tabs>
        <w:ind w:hanging="360" w:start="360" w:end="0"/>
        <w:rPr/>
      </w:pPr>
      <w:r>
        <w:rPr/>
        <w:t>Analyzed tariffs to develop electricity market structures and assist with formulating a forward curve for the delivery of the commodity in UK markets</w:t>
      </w:r>
    </w:p>
    <w:p>
      <w:pPr>
        <w:pStyle w:val="Normal"/>
        <w:numPr>
          <w:ilvl w:val="0"/>
          <w:numId w:val="3"/>
        </w:numPr>
        <w:tabs>
          <w:tab w:val="clear" w:pos="720"/>
          <w:tab w:val="left" w:pos="360" w:leader="none"/>
        </w:tabs>
        <w:ind w:hanging="360" w:start="360" w:end="0"/>
        <w:rPr/>
      </w:pPr>
      <w:r>
        <w:rPr/>
        <w:t xml:space="preserve">Created analysis tools to track electricity market price movements to ensure accurate daily pricing and reporting activities </w:t>
      </w:r>
    </w:p>
    <w:p>
      <w:pPr>
        <w:pStyle w:val="Normal"/>
        <w:numPr>
          <w:ilvl w:val="0"/>
          <w:numId w:val="3"/>
        </w:numPr>
        <w:tabs>
          <w:tab w:val="clear" w:pos="720"/>
          <w:tab w:val="left" w:pos="360" w:leader="none"/>
          <w:tab w:val="left" w:pos="990" w:leader="none"/>
        </w:tabs>
        <w:ind w:hanging="360" w:start="360" w:end="0"/>
        <w:rPr/>
      </w:pPr>
      <w:r>
        <w:rPr/>
        <w:t>Built tools that simulate supply dispatch for the Argentine power market to forecast the supply-curve in order to determine an accurate forward price view</w:t>
      </w:r>
    </w:p>
    <w:p>
      <w:pPr>
        <w:pStyle w:val="Normal"/>
        <w:numPr>
          <w:ilvl w:val="0"/>
          <w:numId w:val="3"/>
        </w:numPr>
        <w:tabs>
          <w:tab w:val="clear" w:pos="720"/>
          <w:tab w:val="left" w:pos="360" w:leader="none"/>
          <w:tab w:val="left" w:pos="990" w:leader="none"/>
        </w:tabs>
        <w:ind w:hanging="360" w:start="360" w:end="0"/>
        <w:rPr/>
      </w:pPr>
      <w:r>
        <w:rPr/>
        <w:t>Analyzed contracted physical electricity obligations and procurement options to determine optimal hedging strategies for the Argentine and Northeastern United States retail power portfolio</w:t>
      </w:r>
    </w:p>
    <w:p>
      <w:pPr>
        <w:pStyle w:val="Normal"/>
        <w:numPr>
          <w:ilvl w:val="0"/>
          <w:numId w:val="2"/>
        </w:numPr>
        <w:tabs>
          <w:tab w:val="clear" w:pos="720"/>
          <w:tab w:val="left" w:pos="360" w:leader="none"/>
          <w:tab w:val="left" w:pos="990" w:leader="none"/>
        </w:tabs>
        <w:rPr/>
      </w:pPr>
      <w:r>
        <w:rPr/>
        <w:t>Researched Latin American energy markets and economic drivers that may influence Argentina’s economy and energy sector</w:t>
      </w:r>
    </w:p>
    <w:p>
      <w:pPr>
        <w:pStyle w:val="Normal"/>
        <w:numPr>
          <w:ilvl w:val="0"/>
          <w:numId w:val="3"/>
        </w:numPr>
        <w:tabs>
          <w:tab w:val="clear" w:pos="720"/>
          <w:tab w:val="left" w:pos="360" w:leader="none"/>
        </w:tabs>
        <w:ind w:hanging="360" w:start="360" w:end="0"/>
        <w:rPr/>
      </w:pPr>
      <w:r>
        <w:rPr/>
        <w:t>Priced transactions for retail electricity customers located in the northeastern U.S. through evaluation of usage patterns and forward price curves, involved extensive use of DCF analysis and derivative instruments</w:t>
      </w:r>
    </w:p>
    <w:p>
      <w:pPr>
        <w:pStyle w:val="Normal"/>
        <w:numPr>
          <w:ilvl w:val="0"/>
          <w:numId w:val="3"/>
        </w:numPr>
        <w:tabs>
          <w:tab w:val="clear" w:pos="720"/>
          <w:tab w:val="left" w:pos="360" w:leader="none"/>
        </w:tabs>
        <w:ind w:hanging="360" w:start="360" w:end="0"/>
        <w:rPr/>
      </w:pPr>
      <w:r>
        <w:rPr/>
        <w:t>Worked with internal groups in analyzing deal economics to fully assess all financial and physical risks</w:t>
      </w:r>
    </w:p>
    <w:p>
      <w:pPr>
        <w:pStyle w:val="Normal"/>
        <w:rPr>
          <w:b/>
          <w:sz w:val="16"/>
        </w:rPr>
      </w:pPr>
      <w:r>
        <w:rPr>
          <w:b/>
          <w:sz w:val="16"/>
        </w:rPr>
      </w:r>
    </w:p>
    <w:p>
      <w:pPr>
        <w:pStyle w:val="Normal"/>
        <w:numPr>
          <w:ilvl w:val="0"/>
          <w:numId w:val="0"/>
        </w:numPr>
        <w:ind w:hanging="0" w:start="0"/>
        <w:rPr>
          <w:sz w:val="22"/>
        </w:rPr>
      </w:pPr>
      <w:r>
        <w:rPr>
          <w:b/>
          <w:sz w:val="22"/>
        </w:rPr>
        <w:t>Managing Partner, Padrón Drywall Subcontracting</w:t>
      </w:r>
      <w:r>
        <w:rPr>
          <w:sz w:val="22"/>
        </w:rPr>
        <w:t>, Houston TX</w:t>
        <w:tab/>
        <w:tab/>
        <w:tab/>
      </w:r>
      <w:r>
        <w:rPr>
          <w:b/>
          <w:bCs/>
          <w:i/>
          <w:iCs/>
          <w:sz w:val="22"/>
        </w:rPr>
        <w:t>January 1994 to Present</w:t>
      </w:r>
    </w:p>
    <w:p>
      <w:pPr>
        <w:pStyle w:val="Normal"/>
        <w:numPr>
          <w:ilvl w:val="0"/>
          <w:numId w:val="3"/>
        </w:numPr>
        <w:tabs>
          <w:tab w:val="clear" w:pos="720"/>
          <w:tab w:val="left" w:pos="360" w:leader="none"/>
        </w:tabs>
        <w:ind w:hanging="360" w:start="360" w:end="0"/>
        <w:rPr/>
      </w:pPr>
      <w:r>
        <w:rPr/>
        <w:t>Assist in contract acquisition and implementation of existing contracts by working closely with homebuilders and contractors</w:t>
      </w:r>
    </w:p>
    <w:p>
      <w:pPr>
        <w:pStyle w:val="Normal"/>
        <w:numPr>
          <w:ilvl w:val="0"/>
          <w:numId w:val="3"/>
        </w:numPr>
        <w:tabs>
          <w:tab w:val="clear" w:pos="720"/>
          <w:tab w:val="left" w:pos="360" w:leader="none"/>
        </w:tabs>
        <w:ind w:hanging="360" w:start="360" w:end="0"/>
        <w:rPr/>
      </w:pPr>
      <w:r>
        <w:rPr/>
        <w:t>Responsible for maintaining financial books and managing all cash inflows and outflows</w:t>
      </w:r>
    </w:p>
    <w:p>
      <w:pPr>
        <w:pStyle w:val="Heading6"/>
        <w:tabs>
          <w:tab w:val="clear" w:pos="720"/>
          <w:tab w:val="left" w:pos="360" w:leader="none"/>
        </w:tabs>
        <w:ind w:hanging="0" w:start="0"/>
        <w:rPr/>
      </w:pPr>
      <w:r>
        <w:rPr/>
      </w:r>
    </w:p>
    <w:p>
      <w:pPr>
        <w:pStyle w:val="Heading6"/>
        <w:tabs>
          <w:tab w:val="clear" w:pos="720"/>
          <w:tab w:val="left" w:pos="360" w:leader="none"/>
        </w:tabs>
        <w:ind w:hanging="0" w:start="0"/>
        <w:rPr/>
      </w:pPr>
      <w:r>
        <w:rPr/>
        <w:t>AWARDS, HONORS AND SKILLS</w:t>
      </w:r>
    </w:p>
    <w:p>
      <w:pPr>
        <w:pStyle w:val="Normal"/>
        <w:numPr>
          <w:ilvl w:val="0"/>
          <w:numId w:val="3"/>
        </w:numPr>
        <w:tabs>
          <w:tab w:val="clear" w:pos="720"/>
          <w:tab w:val="left" w:pos="360" w:leader="none"/>
        </w:tabs>
        <w:ind w:hanging="360" w:start="360" w:end="0"/>
        <w:rPr/>
      </w:pPr>
      <w:r>
        <w:rPr/>
        <w:t>Tenneco Presidential Scholarship</w:t>
      </w:r>
    </w:p>
    <w:p>
      <w:pPr>
        <w:pStyle w:val="Normal"/>
        <w:numPr>
          <w:ilvl w:val="0"/>
          <w:numId w:val="3"/>
        </w:numPr>
        <w:tabs>
          <w:tab w:val="clear" w:pos="720"/>
          <w:tab w:val="left" w:pos="360" w:leader="none"/>
        </w:tabs>
        <w:ind w:hanging="360" w:start="360" w:end="0"/>
        <w:rPr/>
      </w:pPr>
      <w:r>
        <w:rPr/>
        <w:t>Kraft Foods Scholarship</w:t>
      </w:r>
    </w:p>
    <w:p>
      <w:pPr>
        <w:pStyle w:val="Normal"/>
        <w:numPr>
          <w:ilvl w:val="0"/>
          <w:numId w:val="3"/>
        </w:numPr>
        <w:tabs>
          <w:tab w:val="clear" w:pos="720"/>
          <w:tab w:val="left" w:pos="360" w:leader="none"/>
        </w:tabs>
        <w:ind w:hanging="360" w:start="360" w:end="0"/>
        <w:rPr/>
      </w:pPr>
      <w:r>
        <w:rPr/>
        <w:t>National Hispanic Society Fund</w:t>
      </w:r>
    </w:p>
    <w:p>
      <w:pPr>
        <w:pStyle w:val="Normal"/>
        <w:numPr>
          <w:ilvl w:val="0"/>
          <w:numId w:val="3"/>
        </w:numPr>
        <w:tabs>
          <w:tab w:val="clear" w:pos="720"/>
          <w:tab w:val="left" w:pos="360" w:leader="none"/>
        </w:tabs>
        <w:ind w:hanging="360" w:start="360" w:end="0"/>
        <w:rPr>
          <w:u w:val="single"/>
        </w:rPr>
      </w:pPr>
      <w:r>
        <w:rPr/>
        <w:t>National Honor Society</w:t>
      </w:r>
    </w:p>
    <w:p>
      <w:pPr>
        <w:pStyle w:val="Normal"/>
        <w:numPr>
          <w:ilvl w:val="0"/>
          <w:numId w:val="3"/>
        </w:numPr>
        <w:tabs>
          <w:tab w:val="clear" w:pos="720"/>
          <w:tab w:val="left" w:pos="360" w:leader="none"/>
        </w:tabs>
        <w:ind w:hanging="360" w:start="360" w:end="0"/>
        <w:rPr/>
      </w:pPr>
      <w:r>
        <w:rPr/>
        <w:t>Proficient user of MS Word, Excel, Access, Powerpoint, and RDI Powerdat</w:t>
      </w:r>
    </w:p>
    <w:p>
      <w:pPr>
        <w:pStyle w:val="Normal"/>
        <w:numPr>
          <w:ilvl w:val="0"/>
          <w:numId w:val="3"/>
        </w:numPr>
        <w:tabs>
          <w:tab w:val="clear" w:pos="720"/>
          <w:tab w:val="left" w:pos="360" w:leader="none"/>
        </w:tabs>
        <w:ind w:hanging="360" w:start="360" w:end="0"/>
        <w:rPr/>
      </w:pPr>
      <w:r>
        <w:rPr/>
        <w:t>Advanced user of Visual Basic for Excel</w:t>
      </w:r>
    </w:p>
    <w:p>
      <w:pPr>
        <w:pStyle w:val="Normal"/>
        <w:numPr>
          <w:ilvl w:val="0"/>
          <w:numId w:val="3"/>
        </w:numPr>
        <w:tabs>
          <w:tab w:val="clear" w:pos="720"/>
          <w:tab w:val="left" w:pos="360" w:leader="none"/>
        </w:tabs>
        <w:ind w:hanging="360" w:start="360" w:end="0"/>
        <w:rPr/>
      </w:pPr>
      <w:r>
        <w:rPr/>
        <w:t>Proficient user of OATI Energy Trading System and Trade Wave</w:t>
      </w:r>
    </w:p>
    <w:p>
      <w:pPr>
        <w:pStyle w:val="Normal"/>
        <w:numPr>
          <w:ilvl w:val="0"/>
          <w:numId w:val="3"/>
        </w:numPr>
        <w:tabs>
          <w:tab w:val="clear" w:pos="720"/>
          <w:tab w:val="left" w:pos="360" w:leader="none"/>
        </w:tabs>
        <w:ind w:hanging="360" w:start="360" w:end="0"/>
        <w:rPr/>
      </w:pPr>
      <w:r>
        <w:rPr/>
        <w:t xml:space="preserve">Fluent in Spanish </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4"/>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6"/>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jc w:val="center"/>
      <w:outlineLvl w:val="3"/>
    </w:pPr>
    <w:rPr>
      <w:b/>
      <w:sz w:val="22"/>
    </w:rPr>
  </w:style>
  <w:style w:type="paragraph" w:styleId="Heading5">
    <w:name w:val="heading 5"/>
    <w:basedOn w:val="Normal"/>
    <w:next w:val="Normal"/>
    <w:qFormat/>
    <w:pPr>
      <w:keepNext w:val="true"/>
      <w:numPr>
        <w:ilvl w:val="4"/>
        <w:numId w:val="1"/>
      </w:numPr>
      <w:pBdr>
        <w:top w:val="single" w:sz="18" w:space="1" w:color="000000"/>
      </w:pBdr>
      <w:outlineLvl w:val="4"/>
    </w:pPr>
    <w:rPr>
      <w:b/>
      <w:sz w:val="22"/>
      <w:u w:val="single"/>
    </w:rPr>
  </w:style>
  <w:style w:type="paragraph" w:styleId="Heading6">
    <w:name w:val="heading 6"/>
    <w:basedOn w:val="Normal"/>
    <w:next w:val="Normal"/>
    <w:qFormat/>
    <w:pPr>
      <w:keepNext w:val="true"/>
      <w:numPr>
        <w:ilvl w:val="5"/>
        <w:numId w:val="1"/>
      </w:numPr>
      <w:outlineLvl w:val="5"/>
    </w:pPr>
    <w:rPr>
      <w:b/>
      <w:sz w:val="22"/>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8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2001-11-29T14:16:00Z</dcterms:created>
  <dc:creator>jvo</dc:creator>
  <dc:description/>
  <dc:language>en-CA</dc:language>
  <cp:lastModifiedBy>jpadron</cp:lastModifiedBy>
  <cp:lastPrinted>2001-12-06T10:32:00Z</cp:lastPrinted>
  <dcterms:modified xsi:type="dcterms:W3CDTF">2001-12-06T14:13:00Z</dcterms:modified>
  <cp:revision>9</cp:revision>
  <dc:subject/>
  <dc:title>Juan Padron</dc:title>
</cp:coreProperties>
</file>