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r>
    </w:p>
    <w:p>
      <w:pPr>
        <w:pStyle w:val="Heading1"/>
        <w:ind w:hanging="0" w:start="0"/>
        <w:jc w:val="center"/>
        <w:rPr/>
      </w:pPr>
      <w:r>
        <w:rPr/>
      </w:r>
    </w:p>
    <w:p>
      <w:pPr>
        <w:pStyle w:val="Heading1"/>
        <w:ind w:hanging="0" w:start="0"/>
        <w:jc w:val="center"/>
        <w:rPr/>
      </w:pPr>
      <w:r>
        <w:rPr/>
        <w:t>Jose LNG project (Venezuela)</w:t>
      </w:r>
    </w:p>
    <w:p>
      <w:pPr>
        <w:pStyle w:val="Normal"/>
        <w:rPr/>
      </w:pPr>
      <w:r>
        <w:rPr/>
      </w:r>
    </w:p>
    <w:p>
      <w:pPr>
        <w:pStyle w:val="Heading1"/>
        <w:ind w:hanging="0" w:start="0"/>
        <w:jc w:val="center"/>
        <w:rPr/>
      </w:pPr>
      <w:r>
        <w:rPr/>
        <w:t>Background for conversation with President Hugo Chavez</w:t>
      </w:r>
    </w:p>
    <w:p>
      <w:pPr>
        <w:pStyle w:val="Normal"/>
        <w:rPr>
          <w:sz w:val="24"/>
        </w:rPr>
      </w:pPr>
      <w:r>
        <w:rPr>
          <w:sz w:val="24"/>
        </w:rPr>
      </w:r>
    </w:p>
    <w:p>
      <w:pPr>
        <w:pStyle w:val="Heading3"/>
        <w:ind w:hanging="0" w:start="0"/>
        <w:rPr>
          <w:sz w:val="24"/>
        </w:rPr>
      </w:pPr>
      <w:r>
        <w:rPr>
          <w:sz w:val="24"/>
        </w:rPr>
        <w:t>Project Information</w:t>
      </w:r>
    </w:p>
    <w:p>
      <w:pPr>
        <w:pStyle w:val="Normal"/>
        <w:rPr>
          <w:sz w:val="24"/>
        </w:rPr>
      </w:pPr>
      <w:r>
        <w:rPr>
          <w:sz w:val="24"/>
        </w:rPr>
      </w:r>
    </w:p>
    <w:p>
      <w:pPr>
        <w:pStyle w:val="Normal"/>
        <w:rPr>
          <w:sz w:val="24"/>
        </w:rPr>
      </w:pPr>
      <w:r>
        <w:rPr>
          <w:sz w:val="24"/>
        </w:rPr>
        <w:t xml:space="preserve">Please see the attached summary, previously provided for Lay/Cheney and Lay/Powell meetings, for general background on the Jose LNG project. </w:t>
      </w:r>
    </w:p>
    <w:p>
      <w:pPr>
        <w:pStyle w:val="Normal"/>
        <w:rPr>
          <w:sz w:val="24"/>
        </w:rPr>
      </w:pPr>
      <w:r>
        <w:rPr>
          <w:sz w:val="24"/>
        </w:rPr>
      </w:r>
    </w:p>
    <w:p>
      <w:pPr>
        <w:pStyle w:val="Heading3"/>
        <w:ind w:hanging="0" w:start="0"/>
        <w:rPr>
          <w:sz w:val="24"/>
        </w:rPr>
      </w:pPr>
      <w:r>
        <w:rPr>
          <w:sz w:val="24"/>
        </w:rPr>
        <w:t>Events following meetings with Vice President Cheney and Secretary of State Collin Powell</w:t>
      </w:r>
    </w:p>
    <w:p>
      <w:pPr>
        <w:pStyle w:val="Normal"/>
        <w:rPr>
          <w:sz w:val="24"/>
        </w:rPr>
      </w:pPr>
      <w:r>
        <w:rPr>
          <w:sz w:val="24"/>
        </w:rPr>
      </w:r>
    </w:p>
    <w:p>
      <w:pPr>
        <w:pStyle w:val="BodyText"/>
        <w:rPr/>
      </w:pPr>
      <w:r>
        <w:rPr/>
        <w:t>The U.S. State Department took immediate action after the meeting with Ken Lay.  They contacted the Venezuelan authorities through the US Ambassador in Caracas to specifically discuss our project.  Ambassador Donna Hrinak organized a meeting between herself, the Venezuelan Minister of Energy and Mines, Alvaro Silva Calderón (ultimate decisionmaker ) and Emilio Vicens (Enron’s commercial project lead).  The meeting was very positive and achieved two very important objectives: a) it placed the project on the Minister’s high priority list; and b) it set our project apart from the multitude of other projects that are routinely presented to authorities in Venezuela but never materialize.  The Ambassador stated that the US is very interested in this project going forward.  She also described her experience with Enron in Bolivia and the Dominican Republic where “Enron has always followed through when it has presented plans to develop projects.”</w:t>
      </w:r>
    </w:p>
    <w:p>
      <w:pPr>
        <w:pStyle w:val="BodyText"/>
        <w:rPr/>
      </w:pPr>
      <w:r>
        <w:rPr/>
      </w:r>
    </w:p>
    <w:p>
      <w:pPr>
        <w:pStyle w:val="BodyText"/>
        <w:rPr/>
      </w:pPr>
      <w:r>
        <w:rPr/>
        <w:t>The Minister personally committed himself to ensure an expeditious evaluation of the project.  Following this meeting, an interdisciplinary commission was formed to study our project and opportunities for Venezuela in the LNG sector. The team is made up of officials from the Ministry of Energy and Mines, the Natural Gas Regulatory Body (ENAGAS), PDVSA Gas, PDVSA E&amp;P and INTEVEP (PDVSA’s think tank).  This commission has since begun its evaluation.  -</w:t>
      </w:r>
    </w:p>
    <w:p>
      <w:pPr>
        <w:pStyle w:val="BodyText"/>
        <w:rPr/>
      </w:pPr>
      <w:r>
        <w:rPr/>
      </w:r>
    </w:p>
    <w:p>
      <w:pPr>
        <w:pStyle w:val="BodyText"/>
        <w:rPr>
          <w:b/>
          <w:bCs/>
          <w:u w:val="single"/>
        </w:rPr>
      </w:pPr>
      <w:r>
        <w:rPr>
          <w:b/>
          <w:bCs/>
          <w:u w:val="single"/>
        </w:rPr>
        <w:t>Approval Obstacles for Jose LNG</w:t>
      </w:r>
    </w:p>
    <w:p>
      <w:pPr>
        <w:pStyle w:val="BodyText"/>
        <w:rPr>
          <w:b/>
          <w:bCs/>
          <w:u w:val="single"/>
        </w:rPr>
      </w:pPr>
      <w:r>
        <w:rPr>
          <w:b/>
          <w:bCs/>
          <w:u w:val="single"/>
        </w:rPr>
      </w:r>
    </w:p>
    <w:p>
      <w:pPr>
        <w:pStyle w:val="BodyText"/>
        <w:rPr/>
      </w:pPr>
      <w:r>
        <w:rPr/>
        <w:t>The main obstacle to the approval of the Jose LNG project has been the lack of a clear process and objective evaluation criteria.  Instead there is a subjective evaluation in which various Ministry officials attempt to assess the Jose LNG project and its place in a theoretical “optimal portfolio of projects.”  The result is a slow and indeterminate process. The origination team has made significant strides in overcoming this obstacle through meetings with and education of Ministry officials to demonstrate the value of the Jose LNG project as compared to other competing projects or uses for gas and to impress upon them the need for prompt decisions in a competitive environment. This process will continue by providing relevant project information to the newly formed interdisciplinary commission and advising it of Enron’s timing concerns.</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b/>
          <w:bCs/>
          <w:sz w:val="24"/>
          <w:u w:val="single"/>
        </w:rPr>
      </w:pPr>
      <w:r>
        <w:rPr>
          <w:b/>
          <w:bCs/>
          <w:sz w:val="24"/>
          <w:u w:val="single"/>
        </w:rPr>
        <w:t>How could President Chavez’ involvement help?</w:t>
      </w:r>
    </w:p>
    <w:p>
      <w:pPr>
        <w:pStyle w:val="Normal"/>
        <w:rPr>
          <w:b/>
          <w:bCs/>
          <w:sz w:val="24"/>
          <w:u w:val="single"/>
        </w:rPr>
      </w:pPr>
      <w:r>
        <w:rPr>
          <w:b/>
          <w:bCs/>
          <w:sz w:val="24"/>
          <w:u w:val="single"/>
        </w:rPr>
      </w:r>
    </w:p>
    <w:p>
      <w:pPr>
        <w:pStyle w:val="Normal"/>
        <w:rPr>
          <w:sz w:val="24"/>
        </w:rPr>
      </w:pPr>
      <w:r>
        <w:rPr>
          <w:sz w:val="24"/>
        </w:rPr>
        <w:t>We want to communicate to President Chavez a message consistent with that already delivered to Ministry officials so that in any internal meetings/communications he will reinforce that message to the ultimate decision-makers.</w:t>
      </w:r>
    </w:p>
    <w:p>
      <w:pPr>
        <w:pStyle w:val="Normal"/>
        <w:rPr>
          <w:sz w:val="24"/>
        </w:rPr>
      </w:pPr>
      <w:r>
        <w:rPr>
          <w:sz w:val="24"/>
        </w:rPr>
      </w:r>
    </w:p>
    <w:p>
      <w:pPr>
        <w:pStyle w:val="Normal"/>
        <w:rPr>
          <w:sz w:val="24"/>
        </w:rPr>
      </w:pPr>
      <w:r>
        <w:rPr>
          <w:sz w:val="24"/>
        </w:rPr>
        <w:t>The basic message that we think should be transmitted is:</w:t>
      </w:r>
    </w:p>
    <w:p>
      <w:pPr>
        <w:pStyle w:val="Normal"/>
        <w:rPr>
          <w:sz w:val="24"/>
        </w:rPr>
      </w:pPr>
      <w:r>
        <w:rPr>
          <w:sz w:val="24"/>
        </w:rPr>
      </w:r>
    </w:p>
    <w:p>
      <w:pPr>
        <w:pStyle w:val="Normal"/>
        <w:numPr>
          <w:ilvl w:val="0"/>
          <w:numId w:val="3"/>
        </w:numPr>
        <w:rPr>
          <w:sz w:val="24"/>
        </w:rPr>
      </w:pPr>
      <w:r>
        <w:rPr>
          <w:sz w:val="24"/>
        </w:rPr>
        <w:t>We know that the Ministry is working hard on evaluating the Jose LNG project and they are being very helpful.</w:t>
      </w:r>
    </w:p>
    <w:p>
      <w:pPr>
        <w:pStyle w:val="Normal"/>
        <w:rPr>
          <w:sz w:val="24"/>
        </w:rPr>
      </w:pPr>
      <w:r>
        <w:rPr>
          <w:sz w:val="24"/>
        </w:rPr>
      </w:r>
    </w:p>
    <w:p>
      <w:pPr>
        <w:pStyle w:val="Normal"/>
        <w:numPr>
          <w:ilvl w:val="0"/>
          <w:numId w:val="3"/>
        </w:numPr>
        <w:rPr>
          <w:sz w:val="24"/>
        </w:rPr>
      </w:pPr>
      <w:r>
        <w:rPr>
          <w:sz w:val="24"/>
        </w:rPr>
        <w:t>The importance of Venezuela as U.S. energy trading partner is clear from the recent Energy Policy of President Bush.</w:t>
      </w:r>
    </w:p>
    <w:p>
      <w:pPr>
        <w:pStyle w:val="Normal"/>
        <w:rPr>
          <w:sz w:val="24"/>
        </w:rPr>
      </w:pPr>
      <w:r>
        <w:rPr>
          <w:sz w:val="24"/>
        </w:rPr>
      </w:r>
    </w:p>
    <w:p>
      <w:pPr>
        <w:pStyle w:val="Normal"/>
        <w:numPr>
          <w:ilvl w:val="0"/>
          <w:numId w:val="3"/>
        </w:numPr>
        <w:rPr>
          <w:sz w:val="24"/>
        </w:rPr>
      </w:pPr>
      <w:r>
        <w:rPr>
          <w:sz w:val="24"/>
        </w:rPr>
        <w:t>The Jose LNG project is the only project that is ready to go and could even begin construction in early to mid- 2002 (window of opportunity).</w:t>
      </w:r>
    </w:p>
    <w:p>
      <w:pPr>
        <w:pStyle w:val="Normal"/>
        <w:numPr>
          <w:ilvl w:val="1"/>
          <w:numId w:val="2"/>
        </w:numPr>
        <w:rPr>
          <w:sz w:val="24"/>
        </w:rPr>
      </w:pPr>
      <w:r>
        <w:rPr>
          <w:sz w:val="24"/>
        </w:rPr>
        <w:t>Timing is important if Venezuela is to compete successfully for a piece of the LNG market against other proposed projects (Trinidad, Nigeria, Egypt, Angola).</w:t>
      </w:r>
    </w:p>
    <w:p>
      <w:pPr>
        <w:pStyle w:val="Normal"/>
        <w:numPr>
          <w:ilvl w:val="1"/>
          <w:numId w:val="2"/>
        </w:numPr>
        <w:rPr>
          <w:sz w:val="24"/>
        </w:rPr>
      </w:pPr>
      <w:r>
        <w:rPr>
          <w:sz w:val="24"/>
        </w:rPr>
        <w:t>Also important to have LNG product to compete with others that are displacing natural gas liquid sales from Venezuela.</w:t>
      </w:r>
    </w:p>
    <w:p>
      <w:pPr>
        <w:pStyle w:val="Normal"/>
        <w:rPr>
          <w:sz w:val="24"/>
        </w:rPr>
      </w:pPr>
      <w:r>
        <w:rPr>
          <w:sz w:val="24"/>
        </w:rPr>
      </w:r>
    </w:p>
    <w:p>
      <w:pPr>
        <w:pStyle w:val="Normal"/>
        <w:numPr>
          <w:ilvl w:val="0"/>
          <w:numId w:val="2"/>
        </w:numPr>
        <w:rPr>
          <w:sz w:val="24"/>
        </w:rPr>
      </w:pPr>
      <w:r>
        <w:rPr>
          <w:sz w:val="24"/>
        </w:rPr>
        <w:t xml:space="preserve">Enron has committed on ships and terminal capacity to accommodate the Jose LNG project, but time rapidly approaching when those resources must be diverted to other projects. </w:t>
      </w:r>
    </w:p>
    <w:p>
      <w:pPr>
        <w:pStyle w:val="Normal"/>
        <w:rPr>
          <w:sz w:val="24"/>
        </w:rPr>
      </w:pPr>
      <w:r>
        <w:rPr>
          <w:sz w:val="24"/>
        </w:rPr>
      </w:r>
    </w:p>
    <w:p>
      <w:pPr>
        <w:pStyle w:val="Normal"/>
        <w:numPr>
          <w:ilvl w:val="0"/>
          <w:numId w:val="4"/>
        </w:numPr>
        <w:rPr>
          <w:sz w:val="24"/>
        </w:rPr>
      </w:pPr>
      <w:r>
        <w:rPr>
          <w:sz w:val="24"/>
        </w:rPr>
        <w:t>The interests of Venezuela and Enron are aligned in seeking the rapid development of the Jose LNG project and entry into the LNG market while market forces are favorable.</w:t>
      </w:r>
    </w:p>
    <w:p>
      <w:pPr>
        <w:pStyle w:val="Normal"/>
        <w:rPr>
          <w:sz w:val="24"/>
        </w:rPr>
      </w:pPr>
      <w:r>
        <w:rPr>
          <w:sz w:val="24"/>
        </w:rPr>
      </w:r>
    </w:p>
    <w:p>
      <w:pPr>
        <w:pStyle w:val="Normal"/>
        <w:rPr>
          <w:b/>
          <w:bCs/>
          <w:sz w:val="24"/>
        </w:rPr>
      </w:pPr>
      <w:r>
        <w:rPr>
          <w:b/>
          <w:bCs/>
          <w:sz w:val="24"/>
        </w:rPr>
        <w:t>Conclusion Points:</w:t>
      </w:r>
    </w:p>
    <w:p>
      <w:pPr>
        <w:pStyle w:val="Normal"/>
        <w:rPr>
          <w:b/>
          <w:bCs/>
          <w:sz w:val="24"/>
        </w:rPr>
      </w:pPr>
      <w:r>
        <w:rPr>
          <w:b/>
          <w:bCs/>
          <w:sz w:val="24"/>
        </w:rPr>
      </w:r>
    </w:p>
    <w:p>
      <w:pPr>
        <w:pStyle w:val="Normal"/>
        <w:numPr>
          <w:ilvl w:val="0"/>
          <w:numId w:val="4"/>
        </w:numPr>
        <w:rPr>
          <w:b/>
          <w:bCs/>
          <w:sz w:val="24"/>
        </w:rPr>
      </w:pPr>
      <w:r>
        <w:rPr>
          <w:b/>
          <w:bCs/>
          <w:sz w:val="24"/>
        </w:rPr>
        <w:t>Trinidad and other developments proceeding rapidly and Enron needs to make supply commitment decisions soon; market windows and available terminal space closing.</w:t>
      </w:r>
    </w:p>
    <w:p>
      <w:pPr>
        <w:pStyle w:val="Normal"/>
        <w:rPr>
          <w:b/>
          <w:bCs/>
          <w:sz w:val="24"/>
        </w:rPr>
      </w:pPr>
      <w:r>
        <w:rPr>
          <w:b/>
          <w:bCs/>
          <w:sz w:val="24"/>
        </w:rPr>
      </w:r>
    </w:p>
    <w:p>
      <w:pPr>
        <w:pStyle w:val="Normal"/>
        <w:numPr>
          <w:ilvl w:val="0"/>
          <w:numId w:val="4"/>
        </w:numPr>
        <w:rPr>
          <w:b/>
          <w:bCs/>
          <w:sz w:val="24"/>
        </w:rPr>
      </w:pPr>
      <w:r>
        <w:rPr>
          <w:b/>
          <w:bCs/>
          <w:sz w:val="24"/>
        </w:rPr>
        <w:t>Venezuela has long been a major energy supplier and is now better situated than most suppliers (good location; large resource base) to become a leading player in the world LNG market, but needs to enter that market now.</w:t>
      </w:r>
    </w:p>
    <w:p>
      <w:pPr>
        <w:pStyle w:val="Normal"/>
        <w:rPr>
          <w:b/>
          <w:bCs/>
          <w:sz w:val="24"/>
        </w:rPr>
      </w:pPr>
      <w:r>
        <w:rPr>
          <w:b/>
          <w:bCs/>
          <w:sz w:val="24"/>
        </w:rPr>
      </w:r>
    </w:p>
    <w:p>
      <w:pPr>
        <w:pStyle w:val="Normal"/>
        <w:numPr>
          <w:ilvl w:val="0"/>
          <w:numId w:val="4"/>
        </w:numPr>
        <w:rPr>
          <w:b/>
          <w:bCs/>
          <w:sz w:val="24"/>
        </w:rPr>
      </w:pPr>
      <w:r>
        <w:rPr>
          <w:b/>
          <w:bCs/>
          <w:sz w:val="24"/>
        </w:rPr>
        <w:t>Need a commitment from Venezuela in the near future if Enron’s commitment of resources to near-term development to be maintained.  If Venezuela’s timeline is significantly longer than this, then discussions should continue on mid- to long-term development basis and Enron will focus immediately available resources on other projects.</w:t>
      </w:r>
    </w:p>
    <w:p>
      <w:pPr>
        <w:pStyle w:val="Normal"/>
        <w:rPr>
          <w:b/>
          <w:bCs/>
          <w:sz w:val="24"/>
        </w:rPr>
      </w:pPr>
      <w:r>
        <w:rPr>
          <w:b/>
          <w:bCs/>
          <w:sz w:val="24"/>
        </w:rPr>
      </w:r>
    </w:p>
    <w:p>
      <w:pPr>
        <w:pStyle w:val="Normal"/>
        <w:rPr>
          <w:sz w:val="24"/>
        </w:rPr>
      </w:pPr>
      <w:r>
        <w:rPr>
          <w:sz w:val="24"/>
        </w:rPr>
      </w:r>
      <w:r>
        <w:br w:type="page"/>
      </w:r>
    </w:p>
    <w:p>
      <w:pPr>
        <w:pStyle w:val="Normal"/>
        <w:rPr>
          <w:sz w:val="24"/>
        </w:rPr>
      </w:pPr>
      <w:r>
        <w:rPr>
          <w:sz w:val="24"/>
        </w:rPr>
      </w:r>
    </w:p>
    <w:p>
      <w:pPr>
        <w:pStyle w:val="Heading1"/>
        <w:ind w:hanging="0" w:start="0"/>
        <w:jc w:val="center"/>
        <w:rPr/>
      </w:pPr>
      <w:r>
        <w:rPr/>
        <w:t>Enron’s Liquefied Natural Gas project in Venezuela – “Jose LNG”</w:t>
      </w:r>
    </w:p>
    <w:p>
      <w:pPr>
        <w:pStyle w:val="Normal"/>
        <w:rPr>
          <w:sz w:val="12"/>
        </w:rPr>
      </w:pPr>
      <w:r>
        <w:rPr>
          <w:sz w:val="12"/>
        </w:rPr>
      </w:r>
    </w:p>
    <w:p>
      <w:pPr>
        <w:pStyle w:val="Heading1"/>
        <w:spacing w:lineRule="auto" w:line="240"/>
        <w:ind w:hanging="0" w:start="0"/>
        <w:rPr/>
      </w:pPr>
      <w:r>
        <w:rPr/>
        <w:t>Project Description</w:t>
      </w:r>
    </w:p>
    <w:p>
      <w:pPr>
        <w:pStyle w:val="Normal"/>
        <w:rPr>
          <w:sz w:val="24"/>
        </w:rPr>
      </w:pPr>
      <w:r>
        <w:rPr>
          <w:sz w:val="24"/>
        </w:rPr>
      </w:r>
    </w:p>
    <w:p>
      <w:pPr>
        <w:pStyle w:val="Normal"/>
        <w:rPr>
          <w:sz w:val="24"/>
        </w:rPr>
      </w:pPr>
      <w:r>
        <w:rPr>
          <w:sz w:val="24"/>
        </w:rPr>
        <w:t>Jose LNG is a proposed natural gas liquefaction export facility to be built in the Jose industrial complex, in eastern Venezuela.  Commercial operations are anticipated to begin first quarter 2005.  The production nameplate capacity will be 2.1 million tons per annum or 300,000 MMBtus/day.  The facility’s capacity is smaller than traditional base load LNG facilities due to the decision to focus on a fast track development.  It should however be noted that the facility can easily be expanded to meet future market opportunities.</w:t>
      </w:r>
    </w:p>
    <w:p>
      <w:pPr>
        <w:pStyle w:val="Normal"/>
        <w:rPr>
          <w:sz w:val="24"/>
        </w:rPr>
      </w:pPr>
      <w:r>
        <w:rPr>
          <w:sz w:val="24"/>
        </w:rPr>
      </w:r>
    </w:p>
    <w:p>
      <w:pPr>
        <w:pStyle w:val="Normal"/>
        <w:rPr/>
      </w:pPr>
      <w:r>
        <w:rPr>
          <w:sz w:val="24"/>
        </w:rPr>
        <w:t>The total investment required will be roughly US$ 800 million. The majority of the equipment and engineering services are expected to be sourced from US suppliers. The project is currently sponsored 100% by Enron; however, at/post financial close PDVSA and 3</w:t>
      </w:r>
      <w:r>
        <w:rPr>
          <w:sz w:val="24"/>
          <w:vertAlign w:val="superscript"/>
        </w:rPr>
        <w:t>rd</w:t>
      </w:r>
      <w:r>
        <w:rPr>
          <w:sz w:val="24"/>
        </w:rPr>
        <w:t xml:space="preserve"> party financial investors are likely to be brought in as additional equity partners.  The main LNG long-term contract buyer for the project’s associated production will be Enron.</w:t>
      </w:r>
    </w:p>
    <w:p>
      <w:pPr>
        <w:pStyle w:val="Normal"/>
        <w:rPr>
          <w:sz w:val="24"/>
        </w:rPr>
      </w:pPr>
      <w:r>
        <w:rPr>
          <w:sz w:val="24"/>
        </w:rPr>
      </w:r>
    </w:p>
    <w:p>
      <w:pPr>
        <w:pStyle w:val="Normal"/>
        <w:rPr>
          <w:sz w:val="24"/>
        </w:rPr>
      </w:pPr>
      <w:r>
        <w:rPr>
          <w:sz w:val="24"/>
        </w:rPr>
        <w:t xml:space="preserve">The natural gas supply will be provided at the plant by PDVSA Gas under a long term obligation. This facility will be the first LNG export project to source its natural gas supply from a suppliers portfolio of upstream sources as opposed to dedicated gas fields and associated gathering systems. The main benefits of this structure is that it eliminates the liquefaction project’s exposure to exploration and production risks, while also creating the opportunity to achieve a fast track completion schedule.  </w:t>
      </w:r>
    </w:p>
    <w:p>
      <w:pPr>
        <w:pStyle w:val="Normal"/>
        <w:rPr>
          <w:sz w:val="24"/>
        </w:rPr>
      </w:pPr>
      <w:r>
        <w:rPr>
          <w:sz w:val="24"/>
        </w:rPr>
      </w:r>
    </w:p>
    <w:p>
      <w:pPr>
        <w:pStyle w:val="Normal"/>
        <w:rPr>
          <w:sz w:val="24"/>
        </w:rPr>
      </w:pPr>
      <w:r>
        <w:rPr>
          <w:sz w:val="24"/>
        </w:rPr>
        <w:t>The main target market for the physical supply will be United States. For this purpose, Enron has secured long-term access to the Elba Island receiving terminal in Georgia and is also developing an additional receiving terminal in Grand Bahama.  The Bahamas terminal project includes a pipeline connection to the FGT system in order to supply the Florida market. Other US terminals that are capable of receiving Jose LNG’s production include Everett (Boston), Cove Point (Maryland), and Lake Charles (Louisiana).  Future target markets include Puerto Rico, Spain, Portugal, Belgium, and France.</w:t>
      </w:r>
    </w:p>
    <w:p>
      <w:pPr>
        <w:pStyle w:val="Normal"/>
        <w:rPr>
          <w:sz w:val="24"/>
        </w:rPr>
      </w:pPr>
      <w:r>
        <w:rPr>
          <w:sz w:val="24"/>
        </w:rPr>
      </w:r>
    </w:p>
    <w:p>
      <w:pPr>
        <w:pStyle w:val="Normal"/>
        <w:rPr>
          <w:sz w:val="24"/>
        </w:rPr>
      </w:pPr>
      <w:r>
        <w:rPr>
          <w:sz w:val="24"/>
        </w:rPr>
        <w:t>Enron has also recently acquired a LNG shipping portfolio through multi year charter agreements to meet the project’s transportation needs within the Atlantic Basin.</w:t>
      </w:r>
    </w:p>
    <w:p>
      <w:pPr>
        <w:pStyle w:val="Normal"/>
        <w:rPr>
          <w:sz w:val="24"/>
        </w:rPr>
      </w:pPr>
      <w:r>
        <w:rPr>
          <w:sz w:val="24"/>
        </w:rPr>
      </w:r>
    </w:p>
    <w:p>
      <w:pPr>
        <w:pStyle w:val="Heading1"/>
        <w:spacing w:lineRule="auto" w:line="240"/>
        <w:ind w:hanging="0" w:start="0"/>
        <w:rPr>
          <w:bCs/>
        </w:rPr>
      </w:pPr>
      <w:r>
        <w:rPr>
          <w:bCs/>
        </w:rPr>
        <w:t>Current Status</w:t>
      </w:r>
    </w:p>
    <w:p>
      <w:pPr>
        <w:pStyle w:val="BodyText"/>
        <w:rPr>
          <w:bCs/>
        </w:rPr>
      </w:pPr>
      <w:r>
        <w:rPr>
          <w:bCs/>
        </w:rPr>
      </w:r>
    </w:p>
    <w:p>
      <w:pPr>
        <w:pStyle w:val="BodyText"/>
        <w:rPr/>
      </w:pPr>
      <w:r>
        <w:rPr/>
        <w:t>Enron and PDVSA are waiting for an approval from the Ministry of Energy and Mines (MEM) in order to launch the project. The main decision being made within MEM is agreeing that PDVSA has excess reserves and production capacity over and above those necessary to meet domestic requirements.  The majority of commercial terms between PDVSA and Enron have been agreed.  Therefore, Enron anticipate execution of the Gas Supply Agreement within 3 weeks of gaining MEM approval.  The main permitting applications are in process (Environmental, Port Concession, Occupation of Land) and permits are expected to be released soon after the MEM grants its approval to the project itself.  These permits will allow for facility construction and operations.</w:t>
      </w:r>
    </w:p>
    <w:p>
      <w:pPr>
        <w:pStyle w:val="BodyText"/>
        <w:rPr/>
      </w:pPr>
      <w:r>
        <w:rPr/>
      </w:r>
    </w:p>
    <w:p>
      <w:pPr>
        <w:pStyle w:val="Heading1"/>
        <w:spacing w:lineRule="auto" w:line="240"/>
        <w:ind w:hanging="0" w:start="0"/>
        <w:rPr/>
      </w:pPr>
      <w:r>
        <w:rPr/>
        <w:t>Obstacles that the project faces and needed actions</w:t>
      </w:r>
    </w:p>
    <w:p>
      <w:pPr>
        <w:pStyle w:val="Normal"/>
        <w:rPr>
          <w:sz w:val="24"/>
        </w:rPr>
      </w:pPr>
      <w:r>
        <w:rPr>
          <w:sz w:val="24"/>
        </w:rPr>
        <w:t>The main hurdle that Enron is currently facing is that certain levels within the Venezuelan administration believe that upstream gas production will not develop rapidly enough to satisfy the combined domestic and export requirements. Enron believes this concern stems from the lack of experience of the current Venezuelan authorities in this matter.</w:t>
      </w:r>
    </w:p>
    <w:p>
      <w:pPr>
        <w:pStyle w:val="Normal"/>
        <w:rPr>
          <w:sz w:val="24"/>
        </w:rPr>
      </w:pPr>
      <w:r>
        <w:rPr>
          <w:sz w:val="24"/>
        </w:rPr>
      </w:r>
    </w:p>
    <w:p>
      <w:pPr>
        <w:pStyle w:val="Normal"/>
        <w:rPr>
          <w:sz w:val="24"/>
        </w:rPr>
      </w:pPr>
      <w:r>
        <w:rPr>
          <w:sz w:val="24"/>
        </w:rPr>
        <w:t>In order to remove this concern, PDVSA has presented a well documented long-term supply plan to the MEM which specifically identifies the strategy and steps they will undertake to secure the availability of production. Such strategy includes the active participation of foreign investors in all segments of the gas industry, in accordance with what the new natural gas law provides for and encourages. Enron believes that an effort to stress at the most senior levels of Venezuela’s administration the economic importance of our project for both countries, and the great interest that US companies have to invest in energy related activities in Venezuela, is key to overcoming the main obstacle that our project and other export projects are currently facing.</w:t>
      </w:r>
    </w:p>
    <w:p>
      <w:pPr>
        <w:pStyle w:val="Normal"/>
        <w:rPr>
          <w:sz w:val="24"/>
        </w:rPr>
      </w:pPr>
      <w:r>
        <w:rPr>
          <w:sz w:val="24"/>
        </w:rPr>
      </w:r>
    </w:p>
    <w:p>
      <w:pPr>
        <w:pStyle w:val="Heading1"/>
        <w:spacing w:lineRule="auto" w:line="240"/>
        <w:ind w:hanging="0" w:start="0"/>
        <w:rPr/>
      </w:pPr>
      <w:r>
        <w:rPr/>
        <w:t>Benefits to the US and Venezuela</w:t>
      </w:r>
    </w:p>
    <w:p>
      <w:pPr>
        <w:pStyle w:val="Heading2"/>
        <w:spacing w:lineRule="auto" w:line="240" w:before="120" w:after="0"/>
        <w:ind w:hanging="0" w:start="0"/>
        <w:rPr/>
      </w:pPr>
      <w:r>
        <w:rPr/>
        <w:t>To the US</w:t>
      </w:r>
    </w:p>
    <w:p>
      <w:pPr>
        <w:pStyle w:val="BodyText"/>
        <w:rPr/>
      </w:pPr>
      <w:r>
        <w:rPr/>
        <w:t>LNG has surfaced as a new incremental source of natural gas supplies to help meet the demands of the North American market.  In order to accommodate these supplies multiple initiatives are under way within the US to refurbish and build the necessary infrastructure for LNG reception.  In parallel to this activity, export projects similar to Jose LNG are in development.  However, they are encountering delays due to in country regulatory and political hurdles to which Venezuela is no exception. Any efforts to remove these barriers which are jeopardizing the development of these LNG exports will contribute to solving the supply shortage that caused gas prices to sharply increase by the end of 2000.</w:t>
      </w:r>
    </w:p>
    <w:p>
      <w:pPr>
        <w:pStyle w:val="Heading2"/>
        <w:spacing w:lineRule="auto" w:line="240" w:before="120" w:after="0"/>
        <w:ind w:hanging="0" w:start="0"/>
        <w:rPr/>
      </w:pPr>
      <w:r>
        <w:rPr/>
        <w:t>To Venezuela</w:t>
      </w:r>
    </w:p>
    <w:p>
      <w:pPr>
        <w:pStyle w:val="Normal"/>
        <w:rPr>
          <w:sz w:val="24"/>
        </w:rPr>
      </w:pPr>
      <w:r>
        <w:rPr>
          <w:sz w:val="24"/>
        </w:rPr>
        <w:t>The absence of a sizeable domestic market for natural gas, has prevented the development of the country’s huge gas reserves that President Chavez is trying to promote. Opening the US market to these reserves through LNG projects like Enron’s, will increase and diversify the country’s exports, immediately trigger numerous up-stream activities, create numerous local jobs and service industries and generating significant incremental tax and royalty revenues.</w:t>
      </w:r>
    </w:p>
    <w:p>
      <w:pPr>
        <w:pStyle w:val="Normal"/>
        <w:rPr>
          <w:sz w:val="24"/>
        </w:rPr>
      </w:pPr>
      <w:r>
        <w:rPr>
          <w:sz w:val="24"/>
        </w:rPr>
      </w:r>
    </w:p>
    <w:p>
      <w:pPr>
        <w:pStyle w:val="Heading1"/>
        <w:spacing w:lineRule="auto" w:line="240"/>
        <w:ind w:hanging="0" w:start="0"/>
        <w:rPr>
          <w:bCs/>
        </w:rPr>
      </w:pPr>
      <w:r>
        <w:rPr>
          <w:bCs/>
        </w:rPr>
        <w:t>The Bahamas LNG receiving terminal project</w:t>
      </w:r>
    </w:p>
    <w:p>
      <w:pPr>
        <w:pStyle w:val="Normal"/>
        <w:rPr>
          <w:bCs/>
          <w:sz w:val="24"/>
        </w:rPr>
      </w:pPr>
      <w:r>
        <w:rPr>
          <w:bCs/>
          <w:sz w:val="24"/>
        </w:rPr>
      </w:r>
    </w:p>
    <w:p>
      <w:pPr>
        <w:pStyle w:val="Normal"/>
        <w:rPr>
          <w:sz w:val="24"/>
        </w:rPr>
      </w:pPr>
      <w:r>
        <w:rPr>
          <w:sz w:val="24"/>
        </w:rPr>
        <w:t>Enron is pursuing the development of a 400,000 MMBtu/day LNG receiving terminal in Grand Bahama that will serve the rapidly growing South Florida market through a 96 mile sub sea pipeline. The project is estimated to cost $500 MM  and is expect to complete by late 2004.  The creation of this project will solve Florida’s severe gas supply constraints. One of the major hurdles to accomplish this project is the securing of reliable long-term supply of LNG. That is precisely why Enron is pursuing the development of the Jose LNG project and why a fast track schedule is required.</w:t>
      </w:r>
    </w:p>
    <w:p>
      <w:pPr>
        <w:pStyle w:val="Normal"/>
        <w:rPr>
          <w:sz w:val="24"/>
        </w:rPr>
      </w:pPr>
      <w:r>
        <w:rPr>
          <w:sz w:val="24"/>
        </w:rPr>
      </w:r>
    </w:p>
    <w:p>
      <w:pPr>
        <w:pStyle w:val="Normal"/>
        <w:rPr>
          <w:sz w:val="24"/>
        </w:rPr>
      </w:pPr>
      <w:r>
        <w:rPr>
          <w:sz w:val="24"/>
        </w:rPr>
        <w:t>Enron has obtained exclusive rights to build the terminal in Freeport’s port and is making progress in the permitting process. The required construction efforts are anticipated to begin post release of the relevant permits and authorizations (early 2002).</w:t>
      </w:r>
    </w:p>
    <w:sectPr>
      <w:type w:val="nextPage"/>
      <w:pgSz w:w="12240" w:h="15840"/>
      <w:pgMar w:left="1800" w:right="1800"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900"/>
        </w:tabs>
        <w:ind w:start="900" w:hanging="360"/>
      </w:pPr>
      <w:rPr>
        <w:rFonts w:ascii="Symbol" w:hAnsi="Symbol" w:cs="Symbol" w:hint="default"/>
      </w:rPr>
    </w:lvl>
    <w:lvl w:ilvl="1">
      <w:start w:val="1"/>
      <w:numFmt w:val="bullet"/>
      <w:lvlText w:val="o"/>
      <w:lvlJc w:val="start"/>
      <w:pPr>
        <w:tabs>
          <w:tab w:val="num" w:pos="1620"/>
        </w:tabs>
        <w:ind w:start="1620" w:hanging="360"/>
      </w:pPr>
      <w:rPr>
        <w:rFonts w:ascii="Courier New" w:hAnsi="Courier New" w:cs="Courier New" w:hint="default"/>
      </w:rPr>
    </w:lvl>
    <w:lvl w:ilvl="2">
      <w:start w:val="1"/>
      <w:numFmt w:val="bullet"/>
      <w:lvlText w:val=""/>
      <w:lvlJc w:val="start"/>
      <w:pPr>
        <w:tabs>
          <w:tab w:val="num" w:pos="2340"/>
        </w:tabs>
        <w:ind w:start="2340" w:hanging="360"/>
      </w:pPr>
      <w:rPr>
        <w:rFonts w:ascii="Symbol" w:hAnsi="Symbol" w:cs="Symbol" w:hint="default"/>
      </w:rPr>
    </w:lvl>
    <w:lvl w:ilvl="3">
      <w:start w:val="1"/>
      <w:numFmt w:val="bullet"/>
      <w:lvlText w:val=""/>
      <w:lvlJc w:val="start"/>
      <w:pPr>
        <w:tabs>
          <w:tab w:val="num" w:pos="3060"/>
        </w:tabs>
        <w:ind w:start="3060" w:hanging="360"/>
      </w:pPr>
      <w:rPr>
        <w:rFonts w:ascii="Symbol" w:hAnsi="Symbol" w:cs="Symbol" w:hint="default"/>
      </w:rPr>
    </w:lvl>
    <w:lvl w:ilvl="4">
      <w:start w:val="1"/>
      <w:numFmt w:val="bullet"/>
      <w:lvlText w:val="o"/>
      <w:lvlJc w:val="start"/>
      <w:pPr>
        <w:tabs>
          <w:tab w:val="num" w:pos="3780"/>
        </w:tabs>
        <w:ind w:start="3780" w:hanging="360"/>
      </w:pPr>
      <w:rPr>
        <w:rFonts w:ascii="Courier New" w:hAnsi="Courier New" w:cs="Courier New" w:hint="default"/>
      </w:rPr>
    </w:lvl>
    <w:lvl w:ilvl="5">
      <w:start w:val="1"/>
      <w:numFmt w:val="bullet"/>
      <w:lvlText w:val=""/>
      <w:lvlJc w:val="start"/>
      <w:pPr>
        <w:tabs>
          <w:tab w:val="num" w:pos="4500"/>
        </w:tabs>
        <w:ind w:start="4500" w:hanging="360"/>
      </w:pPr>
      <w:rPr>
        <w:rFonts w:ascii="Wingdings" w:hAnsi="Wingdings" w:cs="Wingdings" w:hint="default"/>
      </w:rPr>
    </w:lvl>
    <w:lvl w:ilvl="6">
      <w:start w:val="1"/>
      <w:numFmt w:val="bullet"/>
      <w:lvlText w:val=""/>
      <w:lvlJc w:val="start"/>
      <w:pPr>
        <w:tabs>
          <w:tab w:val="num" w:pos="5220"/>
        </w:tabs>
        <w:ind w:start="5220" w:hanging="360"/>
      </w:pPr>
      <w:rPr>
        <w:rFonts w:ascii="Symbol" w:hAnsi="Symbol" w:cs="Symbol" w:hint="default"/>
      </w:rPr>
    </w:lvl>
    <w:lvl w:ilvl="7">
      <w:start w:val="1"/>
      <w:numFmt w:val="bullet"/>
      <w:lvlText w:val="o"/>
      <w:lvlJc w:val="start"/>
      <w:pPr>
        <w:tabs>
          <w:tab w:val="num" w:pos="5940"/>
        </w:tabs>
        <w:ind w:start="5940" w:hanging="360"/>
      </w:pPr>
      <w:rPr>
        <w:rFonts w:ascii="Courier New" w:hAnsi="Courier New" w:cs="Courier New" w:hint="default"/>
      </w:rPr>
    </w:lvl>
    <w:lvl w:ilvl="8">
      <w:start w:val="1"/>
      <w:numFmt w:val="bullet"/>
      <w:lvlText w:val=""/>
      <w:lvlJc w:val="start"/>
      <w:pPr>
        <w:tabs>
          <w:tab w:val="num" w:pos="6660"/>
        </w:tabs>
        <w:ind w:start="6660" w:hanging="360"/>
      </w:pPr>
      <w:rPr>
        <w:rFonts w:ascii="Wingdings" w:hAnsi="Wingdings" w:cs="Wingdings" w:hint="default"/>
      </w:rPr>
    </w:lvl>
  </w:abstractNum>
  <w:abstractNum w:abstractNumId="3">
    <w:lvl w:ilvl="0">
      <w:start w:val="1"/>
      <w:numFmt w:val="bullet"/>
      <w:lvlText w:val=""/>
      <w:lvlJc w:val="start"/>
      <w:pPr>
        <w:tabs>
          <w:tab w:val="num" w:pos="900"/>
        </w:tabs>
        <w:ind w:start="900" w:hanging="360"/>
      </w:pPr>
      <w:rPr>
        <w:rFonts w:ascii="Symbol" w:hAnsi="Symbol" w:cs="Symbol" w:hint="default"/>
      </w:rPr>
    </w:lvl>
  </w:abstractNum>
  <w:abstractNum w:abstractNumId="4">
    <w:lvl w:ilvl="0">
      <w:start w:val="1"/>
      <w:numFmt w:val="bullet"/>
      <w:lvlText w:val=""/>
      <w:lvlJc w:val="start"/>
      <w:pPr>
        <w:tabs>
          <w:tab w:val="num" w:pos="900"/>
        </w:tabs>
        <w:ind w:start="90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uto" w:line="360"/>
      <w:outlineLvl w:val="0"/>
    </w:pPr>
    <w:rPr>
      <w:b/>
      <w:sz w:val="24"/>
      <w:u w:val="single"/>
    </w:rPr>
  </w:style>
  <w:style w:type="paragraph" w:styleId="Heading2">
    <w:name w:val="heading 2"/>
    <w:basedOn w:val="Normal"/>
    <w:next w:val="Normal"/>
    <w:qFormat/>
    <w:pPr>
      <w:keepNext w:val="true"/>
      <w:numPr>
        <w:ilvl w:val="1"/>
        <w:numId w:val="1"/>
      </w:numPr>
      <w:spacing w:lineRule="auto" w:line="360"/>
      <w:outlineLvl w:val="1"/>
    </w:pPr>
    <w:rPr>
      <w:i/>
      <w:sz w:val="24"/>
      <w:u w:val="single"/>
    </w:rPr>
  </w:style>
  <w:style w:type="paragraph" w:styleId="Heading3">
    <w:name w:val="heading 3"/>
    <w:basedOn w:val="Normal"/>
    <w:next w:val="Normal"/>
    <w:qFormat/>
    <w:pPr>
      <w:keepNext w:val="true"/>
      <w:numPr>
        <w:ilvl w:val="2"/>
        <w:numId w:val="1"/>
      </w:numPr>
      <w:outlineLvl w:val="2"/>
    </w:pPr>
    <w:rPr>
      <w:b/>
      <w:bCs/>
      <w:u w:val="single"/>
    </w:rPr>
  </w:style>
  <w:style w:type="paragraph" w:styleId="Heading4">
    <w:name w:val="heading 4"/>
    <w:basedOn w:val="Normal"/>
    <w:next w:val="Normal"/>
    <w:qFormat/>
    <w:pPr>
      <w:keepNext w:val="true"/>
      <w:numPr>
        <w:ilvl w:val="3"/>
        <w:numId w:val="1"/>
      </w:numPr>
      <w:outlineLvl w:val="3"/>
    </w:pPr>
    <w:rPr>
      <w:i/>
      <w:iCs/>
      <w:sz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Courier New" w:hAnsi="Courier New" w:cs="Courier New"/>
    </w:rPr>
  </w:style>
  <w:style w:type="character" w:styleId="WW8Num2z1">
    <w:name w:val="WW8Num2z1"/>
    <w:qFormat/>
    <w:rPr>
      <w:rFonts w:ascii="Symbol" w:hAnsi="Symbol" w:cs="Symbol"/>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5">
    <w:name w:val="WW8Num3z5"/>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Courier New" w:hAnsi="Courier New" w:cs="Courier New"/>
    </w:rPr>
  </w:style>
  <w:style w:type="character" w:styleId="WW8Num10z1">
    <w:name w:val="WW8Num10z1"/>
    <w:qFormat/>
    <w:rPr>
      <w:rFonts w:ascii="Symbol" w:hAnsi="Symbol" w:cs="Symbol"/>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2">
    <w:name w:val="WW8Num11z2"/>
    <w:qFormat/>
    <w:rPr>
      <w:rFonts w:ascii="Wingdings" w:hAnsi="Wingdings" w:cs="Wingdings"/>
    </w:rPr>
  </w:style>
  <w:style w:type="character" w:styleId="WW8Num11z4">
    <w:name w:val="WW8Num11z4"/>
    <w:qFormat/>
    <w:rPr>
      <w:rFonts w:ascii="Courier New" w:hAnsi="Courier New" w:cs="Courier New"/>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540" w:end="0"/>
    </w:pPr>
    <w:rPr>
      <w:b/>
      <w:bCs/>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2001-05-24T10:49:00Z</dcterms:created>
  <dc:creator>gcarant</dc:creator>
  <dc:description/>
  <dc:language>en-CA</dc:language>
  <cp:lastModifiedBy>ngerstan</cp:lastModifiedBy>
  <cp:lastPrinted>2001-05-23T10:50:00Z</cp:lastPrinted>
  <dcterms:modified xsi:type="dcterms:W3CDTF">2001-05-25T18:57:00Z</dcterms:modified>
  <cp:revision>5</cp:revision>
  <dc:subject/>
  <dc:title>Enron Global Markets, a subsidiary of Enron Corp</dc:title>
</cp:coreProperties>
</file>