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Tana Jones (ENA Legal)</w:t>
            </w:r>
          </w:p>
          <w:p>
            <w:pPr>
              <w:pStyle w:val="To"/>
              <w:rPr/>
            </w:pPr>
            <w:r>
              <w:rPr/>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p>
            <w:pPr>
              <w:pStyle w:val="To"/>
              <w:rPr/>
            </w:pPr>
            <w:r>
              <w:rPr/>
            </w:r>
          </w:p>
        </w:tc>
        <w:tc>
          <w:tcPr>
            <w:tcW w:w="3955" w:type="dxa"/>
            <w:gridSpan w:val="2"/>
            <w:tcBorders/>
          </w:tcPr>
          <w:p>
            <w:pPr>
              <w:pStyle w:val="Normal"/>
              <w:rPr>
                <w:b/>
                <w:smallCaps/>
              </w:rPr>
            </w:pPr>
            <w:r>
              <w:rPr>
                <w:b/>
                <w:smallCaps/>
              </w:rPr>
              <w:t>Not Discoverable</w:t>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Bob Bruce (ENA Legal)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Proposed Library Doc Clause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r>
    </w:p>
    <w:p>
      <w:pPr>
        <w:pStyle w:val="Body"/>
        <w:ind w:start="0" w:end="720"/>
        <w:jc w:val="both"/>
        <w:rPr>
          <w:sz w:val="22"/>
        </w:rPr>
      </w:pPr>
      <w:r>
        <w:rPr>
          <w:sz w:val="22"/>
        </w:rPr>
        <w:tab/>
        <w:t>I recently worked on preparation of an ISDA where the counterparty was required to have a $1mm LC posted from the outset, and maintained at all times, in order to be an “eligible swap participant.”  After consultation with Sara, we agreed that it should probably be made an express “Additional Termination Event” if the counterparty ever failed to maintain at least $1mm pursuant to an LC (as such failure would result in the counterparty being no longer eligible).</w:t>
      </w:r>
    </w:p>
    <w:p>
      <w:pPr>
        <w:pStyle w:val="Body"/>
        <w:ind w:start="0" w:end="720"/>
        <w:jc w:val="both"/>
        <w:rPr>
          <w:sz w:val="22"/>
        </w:rPr>
      </w:pPr>
      <w:r>
        <w:rPr>
          <w:sz w:val="22"/>
        </w:rPr>
      </w:r>
    </w:p>
    <w:p>
      <w:pPr>
        <w:pStyle w:val="Body"/>
        <w:ind w:start="0" w:end="720"/>
        <w:jc w:val="both"/>
        <w:rPr>
          <w:sz w:val="22"/>
        </w:rPr>
      </w:pPr>
      <w:r>
        <w:rPr>
          <w:sz w:val="22"/>
        </w:rPr>
        <w:tab/>
        <w:t xml:space="preserve">My impression is that this situation is probably not common enough to justify adding this as a new clause in our form of ISDA Schedule; the library doc is probably a more appropriate place (but I will defer to your judgment on that).  </w:t>
      </w:r>
    </w:p>
    <w:p>
      <w:pPr>
        <w:pStyle w:val="Body"/>
        <w:ind w:start="0" w:end="720"/>
        <w:jc w:val="both"/>
        <w:rPr>
          <w:sz w:val="22"/>
        </w:rPr>
      </w:pPr>
      <w:r>
        <w:rPr>
          <w:sz w:val="22"/>
        </w:rPr>
      </w:r>
    </w:p>
    <w:p>
      <w:pPr>
        <w:pStyle w:val="Body"/>
        <w:ind w:start="0" w:end="720"/>
        <w:jc w:val="both"/>
        <w:rPr>
          <w:sz w:val="22"/>
        </w:rPr>
      </w:pPr>
      <w:r>
        <w:rPr>
          <w:sz w:val="22"/>
        </w:rPr>
        <w:tab/>
        <w:t>The clause, as we have inserted it into Part 1 of the  Schedule to Master Agreement for Small Ventures USA, LLC, is as follows:</w:t>
      </w:r>
    </w:p>
    <w:p>
      <w:pPr>
        <w:pStyle w:val="Body"/>
        <w:ind w:start="0" w:end="720"/>
        <w:jc w:val="both"/>
        <w:rPr>
          <w:sz w:val="22"/>
        </w:rPr>
      </w:pPr>
      <w:r>
        <w:rPr>
          <w:sz w:val="22"/>
        </w:rPr>
      </w:r>
    </w:p>
    <w:p>
      <w:pPr>
        <w:pStyle w:val="Body"/>
        <w:ind w:start="0" w:end="720"/>
        <w:jc w:val="both"/>
        <w:rPr/>
      </w:pPr>
      <w:r>
        <w:rPr>
          <w:sz w:val="22"/>
        </w:rPr>
        <w:tab/>
        <w:t>“(h)</w:t>
        <w:tab/>
      </w:r>
      <w:r>
        <w:rPr>
          <w:b/>
          <w:bCs/>
          <w:sz w:val="22"/>
        </w:rPr>
        <w:t>Additional Termination Event</w:t>
      </w:r>
      <w:r>
        <w:rPr>
          <w:sz w:val="22"/>
        </w:rPr>
        <w:t xml:space="preserve"> will apply.  The following will constitute an Additional Termination Event with respect to Party B:</w:t>
      </w:r>
    </w:p>
    <w:p>
      <w:pPr>
        <w:pStyle w:val="Body"/>
        <w:ind w:start="0" w:end="720"/>
        <w:jc w:val="both"/>
        <w:rPr>
          <w:sz w:val="22"/>
        </w:rPr>
      </w:pPr>
      <w:r>
        <w:rPr>
          <w:sz w:val="22"/>
        </w:rPr>
      </w:r>
    </w:p>
    <w:p>
      <w:pPr>
        <w:pStyle w:val="Body"/>
        <w:ind w:start="0" w:end="720"/>
        <w:jc w:val="both"/>
        <w:rPr>
          <w:sz w:val="22"/>
        </w:rPr>
      </w:pPr>
      <w:r>
        <w:rPr>
          <w:sz w:val="22"/>
        </w:rPr>
        <w:tab/>
        <w:t>Failure at any time to maintain an undrawn amount of no less than $1,000,000 pursuant to a letter of credit for the benefit of Party A and account of Party B in full compliance with all applicable provisions of the Credit Support Annex.”</w:t>
      </w:r>
    </w:p>
    <w:p>
      <w:pPr>
        <w:pStyle w:val="Body"/>
        <w:ind w:start="0" w:end="720"/>
        <w:jc w:val="both"/>
        <w:rPr>
          <w:sz w:val="22"/>
        </w:rPr>
      </w:pPr>
      <w:r>
        <w:rPr>
          <w:sz w:val="22"/>
        </w:rPr>
      </w:r>
    </w:p>
    <w:p>
      <w:pPr>
        <w:pStyle w:val="Body"/>
        <w:ind w:start="0" w:end="720"/>
        <w:jc w:val="both"/>
        <w:rPr>
          <w:sz w:val="22"/>
        </w:rPr>
      </w:pPr>
      <w:r>
        <w:rPr>
          <w:sz w:val="22"/>
        </w:rPr>
        <w:tab/>
        <w:t>Please feel free to contact me with any comments or questions.</w:t>
      </w:r>
    </w:p>
    <w:p>
      <w:pPr>
        <w:pStyle w:val="Body"/>
        <w:ind w:start="0" w:end="720"/>
        <w:jc w:val="both"/>
        <w:rPr>
          <w:sz w:val="22"/>
        </w:rPr>
      </w:pPr>
      <w:r>
        <w:rPr>
          <w:sz w:val="22"/>
        </w:rPr>
        <w:tab/>
      </w:r>
    </w:p>
    <w:p>
      <w:pPr>
        <w:pStyle w:val="Body"/>
        <w:ind w:start="0" w:end="720"/>
        <w:jc w:val="both"/>
        <w:rPr>
          <w:sz w:val="22"/>
        </w:rPr>
      </w:pPr>
      <w:r>
        <w:rPr>
          <w:sz w:val="22"/>
        </w:rPr>
      </w:r>
    </w:p>
    <w:p>
      <w:pPr>
        <w:pStyle w:val="Body"/>
        <w:ind w:end="720"/>
        <w:jc w:val="both"/>
        <w:rPr>
          <w:sz w:val="22"/>
        </w:rPr>
      </w:pPr>
      <w:r>
        <w:rPr>
          <w:sz w:val="22"/>
        </w:rPr>
      </w:r>
    </w:p>
    <w:p>
      <w:pPr>
        <w:pStyle w:val="Body"/>
        <w:ind w:firstLine="558" w:start="90" w:end="720"/>
        <w:jc w:val="both"/>
        <w:rPr>
          <w:sz w:val="22"/>
        </w:rPr>
      </w:pPr>
      <w:r>
        <w:rPr>
          <w:sz w:val="22"/>
        </w:rPr>
        <w:tab/>
        <w:tab/>
        <w:tab/>
        <w:tab/>
        <w:tab/>
        <w:tab/>
        <w:tab/>
        <w:tab/>
        <w:tab/>
        <w:tab/>
        <w:t>REB</w:t>
      </w:r>
    </w:p>
    <w:p>
      <w:pPr>
        <w:pStyle w:val="Body"/>
        <w:ind w:firstLine="558" w:start="90" w:end="720"/>
        <w:jc w:val="both"/>
        <w:rPr>
          <w:sz w:val="22"/>
        </w:rPr>
      </w:pPr>
      <w:r>
        <w:rPr>
          <w:sz w:val="22"/>
        </w:rPr>
      </w:r>
    </w:p>
    <w:p>
      <w:pPr>
        <w:pStyle w:val="Body"/>
        <w:ind w:firstLine="558" w:start="90" w:end="720"/>
        <w:jc w:val="both"/>
        <w:rPr>
          <w:rFonts w:eastAsia="Arial"/>
          <w:sz w:val="22"/>
        </w:rPr>
      </w:pPr>
      <w:r>
        <w:rPr>
          <w:rFonts w:eastAsia="Arial"/>
          <w:sz w:val="22"/>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/mnt/main-storage/datasets/enron-docs/doc/Jones_082800.doc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/mnt/main-storage/datasets/enron-docs/doc/Jones_082800.doc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2000-08-28T18:22:00Z</dcterms:created>
  <dc:creator>Jeff Ford</dc:creator>
  <dc:description/>
  <dc:language>en-CA</dc:language>
  <cp:lastModifiedBy>rbruce2</cp:lastModifiedBy>
  <cp:lastPrinted>2000-08-04T11:35:00Z</cp:lastPrinted>
  <dcterms:modified xsi:type="dcterms:W3CDTF">2000-08-28T18:32:00Z</dcterms:modified>
  <cp:revision>3</cp:revision>
  <dc:subject>Analysis of ECT's Financial, Power and Gas Forms</dc:subject>
  <dc:title>Eron Capital &amp; Trade Resources Memo</dc:title>
</cp:coreProperties>
</file>