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152" w:leader="none"/>
        </w:tabs>
        <w:jc w:val="both"/>
        <w:rPr>
          <w:rFonts w:ascii="Univers;Arial" w:hAnsi="Univers;Arial" w:cs="Univers;Arial"/>
          <w:lang w:val="en-GB"/>
        </w:rPr>
      </w:pPr>
      <w:bookmarkStart w:id="0" w:name="QuickMark"/>
      <w:bookmarkEnd w:id="0"/>
      <w:r>
        <w:rPr>
          <w:rFonts w:cs="Univers;Arial" w:ascii="Univers;Arial" w:hAnsi="Univers;Arial"/>
          <w:b/>
          <w:bCs/>
          <w:lang w:val="en-GB"/>
        </w:rPr>
        <w:tab/>
      </w:r>
      <w:r>
        <w:rPr>
          <w:rFonts w:cs="Univers;Arial" w:ascii="Univers;Arial" w:hAnsi="Univers;Arial"/>
          <w:b/>
          <w:bCs/>
          <w:u w:val="single"/>
          <w:lang w:val="en-GB"/>
        </w:rPr>
        <w:t>JONATHAN GAISMAN Q.C.</w:t>
      </w:r>
    </w:p>
    <w:p>
      <w:pPr>
        <w:pStyle w:val="Normal"/>
        <w:jc w:val="both"/>
        <w:rPr>
          <w:rFonts w:ascii="Univers;Arial" w:hAnsi="Univers;Arial" w:cs="Univers;Arial"/>
          <w:b/>
          <w:bCs/>
          <w:u w:val="single"/>
          <w:lang w:val="en-GB"/>
        </w:rPr>
      </w:pPr>
      <w:r>
        <w:rPr>
          <w:rFonts w:cs="Univers;Arial" w:ascii="Univers;Arial" w:hAnsi="Univers;Arial"/>
          <w:b/>
          <w:bCs/>
          <w:u w:val="single"/>
          <w:lang w:val="en-GB"/>
        </w:rPr>
      </w:r>
    </w:p>
    <w:p>
      <w:pPr>
        <w:pStyle w:val="Normal"/>
        <w:jc w:val="both"/>
        <w:rPr>
          <w:rFonts w:ascii="Univers;Arial" w:hAnsi="Univers;Arial" w:cs="Univers;Arial"/>
          <w:b/>
          <w:bCs/>
          <w:u w:val="single"/>
          <w:lang w:val="en-GB"/>
        </w:rPr>
      </w:pPr>
      <w:r>
        <w:rPr>
          <w:rFonts w:cs="Univers;Arial" w:ascii="Univers;Arial" w:hAnsi="Univers;Arial"/>
          <w:b/>
          <w:bCs/>
          <w:u w:val="single"/>
          <w:lang w:val="en-GB"/>
        </w:rPr>
      </w:r>
    </w:p>
    <w:p>
      <w:pPr>
        <w:pStyle w:val="Level1"/>
        <w:numPr>
          <w:ilvl w:val="0"/>
          <w:numId w:val="3"/>
        </w:numPr>
        <w:tabs>
          <w:tab w:val="left" w:pos="-1440" w:leader="none"/>
          <w:tab w:val="left" w:pos="720" w:leader="none"/>
        </w:tabs>
        <w:jc w:val="both"/>
        <w:rPr/>
      </w:pPr>
      <w:r>
        <w:rPr/>
        <w:t>Jonathan Gaisman was born in 1956. He was educated (as a King's Scholar) at Eton and at Worcester College Oxford, where he graduated as Master of Arts with 1st Class Honours in law in 1977 and obtained the post-graduate degree of Bachelor of Civil Law in 1978. He was called to the Bar in 1979 and was appointed Queen's Counsel in 1995 at the age of 38 (at that time the youngest in the country).</w:t>
      </w:r>
    </w:p>
    <w:p>
      <w:pPr>
        <w:pStyle w:val="Normal"/>
        <w:jc w:val="both"/>
        <w:rPr/>
      </w:pPr>
      <w:r>
        <w:rPr/>
      </w:r>
    </w:p>
    <w:p>
      <w:pPr>
        <w:pStyle w:val="Normal"/>
        <w:jc w:val="both"/>
        <w:rPr/>
      </w:pPr>
      <w:r>
        <w:rPr/>
      </w:r>
    </w:p>
    <w:p>
      <w:pPr>
        <w:pStyle w:val="Level1"/>
        <w:numPr>
          <w:ilvl w:val="0"/>
          <w:numId w:val="1"/>
        </w:numPr>
        <w:tabs>
          <w:tab w:val="left" w:pos="-1440" w:leader="none"/>
          <w:tab w:val="left" w:pos="720" w:leader="none"/>
        </w:tabs>
        <w:jc w:val="both"/>
        <w:rPr>
          <w:rFonts w:ascii="Univers;Arial" w:hAnsi="Univers;Arial" w:cs="Univers;Arial"/>
        </w:rPr>
      </w:pPr>
      <w:r>
        <w:rPr/>
        <w:t>He joined the well-established set of commercial Chambers (founded in 1883) at 7 King's Bench Walk in 1979, as a pupil to Jonathan Mance, (now Lord Justice Mance, a Judge of the Commercial Court</w:t>
      </w:r>
      <w:r>
        <w:rPr>
          <w:rFonts w:cs="Univers;Arial" w:ascii="Univers;Arial" w:hAnsi="Univers;Arial"/>
          <w:sz w:val="20"/>
          <w:szCs w:val="20"/>
        </w:rPr>
        <w:t xml:space="preserve">). </w:t>
      </w:r>
      <w:r>
        <w:rPr>
          <w:rFonts w:cs="Univers;Arial" w:ascii="Univers;Arial" w:hAnsi="Univers;Arial"/>
        </w:rPr>
        <w:t>He was offered a place as a tenant in these Chambers on completion of his pupillage in 1980. Former members of Chambers include Lord Denning, formerly Master of the Rolls, Lord Brandon of Oakbrook, Lord Goff of Chieveley, Lord Hobhouse, Lord Justice Longmore and Mr Justice Tomlinson.</w:t>
      </w:r>
    </w:p>
    <w:p>
      <w:pPr>
        <w:pStyle w:val="Normal"/>
        <w:jc w:val="both"/>
        <w:rPr>
          <w:rFonts w:ascii="Univers;Arial" w:hAnsi="Univers;Arial" w:cs="Univers;Arial"/>
        </w:rPr>
      </w:pPr>
      <w:r>
        <w:rPr>
          <w:rFonts w:cs="Univers;Arial" w:ascii="Univers;Arial" w:hAnsi="Univers;Arial"/>
        </w:rPr>
      </w:r>
    </w:p>
    <w:p>
      <w:pPr>
        <w:pStyle w:val="Normal"/>
        <w:jc w:val="both"/>
        <w:rPr>
          <w:rFonts w:ascii="Univers;Arial" w:hAnsi="Univers;Arial" w:cs="Univers;Arial"/>
        </w:rPr>
      </w:pPr>
      <w:r>
        <w:rPr>
          <w:rFonts w:cs="Univers;Arial" w:ascii="Univers;Arial" w:hAnsi="Univers;Arial"/>
        </w:rPr>
      </w:r>
    </w:p>
    <w:p>
      <w:pPr>
        <w:pStyle w:val="Level1"/>
        <w:numPr>
          <w:ilvl w:val="0"/>
          <w:numId w:val="1"/>
        </w:numPr>
        <w:tabs>
          <w:tab w:val="left" w:pos="-1440" w:leader="none"/>
          <w:tab w:val="left" w:pos="720" w:leader="none"/>
        </w:tabs>
        <w:jc w:val="both"/>
        <w:rPr/>
      </w:pPr>
      <w:r>
        <w:rPr/>
        <w:t>Since 1980, he has practised in all aspects of commercial litigation and arbitration, appearing in cases in this field in all the higher courts, including the House of Lords.</w:t>
      </w:r>
    </w:p>
    <w:p>
      <w:pPr>
        <w:pStyle w:val="Normal"/>
        <w:jc w:val="both"/>
        <w:rPr>
          <w:b/>
          <w:bCs/>
          <w:u w:val="single"/>
        </w:rPr>
      </w:pPr>
      <w:r>
        <w:rPr>
          <w:b/>
          <w:bCs/>
          <w:u w:val="single"/>
        </w:rPr>
      </w:r>
    </w:p>
    <w:p>
      <w:pPr>
        <w:pStyle w:val="Normal"/>
        <w:jc w:val="both"/>
        <w:rPr>
          <w:b/>
          <w:bCs/>
          <w:u w:val="single"/>
        </w:rPr>
      </w:pPr>
      <w:r>
        <w:rPr>
          <w:b/>
          <w:bCs/>
          <w:u w:val="single"/>
        </w:rPr>
      </w:r>
    </w:p>
    <w:p>
      <w:pPr>
        <w:pStyle w:val="Normal"/>
        <w:jc w:val="both"/>
        <w:rPr>
          <w:b/>
          <w:bCs/>
          <w:u w:val="single"/>
        </w:rPr>
      </w:pPr>
      <w:r>
        <w:rPr>
          <w:b/>
          <w:bCs/>
          <w:u w:val="single"/>
        </w:rPr>
        <w:t>A. GENERAL COMMERCIAL LITIGATION</w:t>
      </w:r>
    </w:p>
    <w:p>
      <w:pPr>
        <w:pStyle w:val="Normal"/>
        <w:jc w:val="both"/>
        <w:rPr/>
      </w:pPr>
      <w:r>
        <w:rPr/>
      </w:r>
    </w:p>
    <w:p>
      <w:pPr>
        <w:pStyle w:val="Normal"/>
        <w:jc w:val="both"/>
        <w:rPr/>
      </w:pPr>
      <w:r>
        <w:rPr/>
      </w:r>
    </w:p>
    <w:p>
      <w:pPr>
        <w:pStyle w:val="Level1"/>
        <w:numPr>
          <w:ilvl w:val="0"/>
          <w:numId w:val="1"/>
        </w:numPr>
        <w:tabs>
          <w:tab w:val="left" w:pos="-1440" w:leader="none"/>
          <w:tab w:val="left" w:pos="720" w:leader="none"/>
        </w:tabs>
        <w:jc w:val="both"/>
        <w:rPr/>
      </w:pPr>
      <w:r>
        <w:rPr/>
        <w:t>He undertakes commercial litigation and arbitration and advisory work in all areas of commercial law. As well as the fields addressed below, he has, for example been instructed in cases concerning</w:t>
      </w:r>
    </w:p>
    <w:p>
      <w:pPr>
        <w:pStyle w:val="Normal"/>
        <w:jc w:val="both"/>
        <w:rPr/>
      </w:pPr>
      <w:r>
        <w:rPr/>
      </w:r>
    </w:p>
    <w:p>
      <w:pPr>
        <w:pStyle w:val="Normal"/>
        <w:jc w:val="both"/>
        <w:rPr/>
      </w:pPr>
      <w:r>
        <w:rPr/>
      </w:r>
    </w:p>
    <w:p>
      <w:pPr>
        <w:pStyle w:val="Level2"/>
        <w:numPr>
          <w:ilvl w:val="1"/>
          <w:numId w:val="1"/>
        </w:numPr>
        <w:tabs>
          <w:tab w:val="left" w:pos="-1440" w:leader="none"/>
          <w:tab w:val="left" w:pos="1440" w:leader="none"/>
        </w:tabs>
        <w:jc w:val="both"/>
        <w:rPr/>
      </w:pPr>
      <w:r>
        <w:rPr/>
        <w:t>disputes between former board members at Littlewoods arising out of Far East imports;</w:t>
      </w:r>
    </w:p>
    <w:p>
      <w:pPr>
        <w:pStyle w:val="Normal"/>
        <w:jc w:val="both"/>
        <w:rPr/>
      </w:pPr>
      <w:r>
        <w:rPr/>
      </w:r>
    </w:p>
    <w:p>
      <w:pPr>
        <w:pStyle w:val="Normal"/>
        <w:jc w:val="both"/>
        <w:rPr/>
      </w:pPr>
      <w:r>
        <w:rPr/>
      </w:r>
    </w:p>
    <w:p>
      <w:pPr>
        <w:pStyle w:val="Level2"/>
        <w:numPr>
          <w:ilvl w:val="1"/>
          <w:numId w:val="1"/>
        </w:numPr>
        <w:tabs>
          <w:tab w:val="left" w:pos="-1440" w:leader="none"/>
          <w:tab w:val="left" w:pos="1440" w:leader="none"/>
        </w:tabs>
        <w:jc w:val="both"/>
        <w:rPr/>
      </w:pPr>
      <w:r>
        <w:rPr/>
        <w:t>aspects of the Rowland/al Fayed saga;</w:t>
      </w:r>
    </w:p>
    <w:p>
      <w:pPr>
        <w:pStyle w:val="Normal"/>
        <w:jc w:val="both"/>
        <w:rPr/>
      </w:pPr>
      <w:r>
        <w:rPr/>
      </w:r>
    </w:p>
    <w:p>
      <w:pPr>
        <w:pStyle w:val="Normal"/>
        <w:jc w:val="both"/>
        <w:rPr/>
      </w:pPr>
      <w:r>
        <w:rPr/>
      </w:r>
    </w:p>
    <w:p>
      <w:pPr>
        <w:pStyle w:val="Level2"/>
        <w:numPr>
          <w:ilvl w:val="1"/>
          <w:numId w:val="1"/>
        </w:numPr>
        <w:tabs>
          <w:tab w:val="left" w:pos="-1440" w:leader="none"/>
          <w:tab w:val="left" w:pos="1440" w:leader="none"/>
        </w:tabs>
        <w:jc w:val="both"/>
        <w:rPr/>
      </w:pPr>
      <w:r>
        <w:rPr/>
        <w:t>a dispute between the Football League and the owners of Wembley Football Stadium;</w:t>
      </w:r>
    </w:p>
    <w:p>
      <w:pPr>
        <w:pStyle w:val="Normal"/>
        <w:jc w:val="both"/>
        <w:rPr/>
      </w:pPr>
      <w:r>
        <w:rPr/>
      </w:r>
    </w:p>
    <w:p>
      <w:pPr>
        <w:pStyle w:val="Normal"/>
        <w:jc w:val="both"/>
        <w:rPr/>
      </w:pPr>
      <w:r>
        <w:rPr/>
      </w:r>
    </w:p>
    <w:p>
      <w:pPr>
        <w:sectPr>
          <w:headerReference w:type="default" r:id="rId2"/>
          <w:footerReference w:type="default" r:id="rId3"/>
          <w:type w:val="nextPage"/>
          <w:pgSz w:w="11906" w:h="16838"/>
          <w:pgMar w:left="1800" w:right="1800" w:gutter="0" w:header="1800" w:top="1856" w:footer="1800" w:bottom="1856"/>
          <w:pgNumType w:fmt="decimal"/>
          <w:formProt w:val="false"/>
          <w:textDirection w:val="lrTb"/>
          <w:docGrid w:type="default" w:linePitch="360" w:charSpace="0"/>
        </w:sectPr>
      </w:pPr>
    </w:p>
    <w:p>
      <w:pPr>
        <w:pStyle w:val="Level2"/>
        <w:numPr>
          <w:ilvl w:val="1"/>
          <w:numId w:val="1"/>
        </w:numPr>
        <w:tabs>
          <w:tab w:val="left" w:pos="-1440" w:leader="none"/>
          <w:tab w:val="left" w:pos="1440" w:leader="none"/>
        </w:tabs>
        <w:jc w:val="both"/>
        <w:rPr/>
      </w:pPr>
      <w:r>
        <w:rPr/>
        <w:t>duties owed by inspection companies in relation to a Far East construction project;</w:t>
      </w:r>
    </w:p>
    <w:p>
      <w:pPr>
        <w:pStyle w:val="Normal"/>
        <w:jc w:val="both"/>
        <w:rPr/>
      </w:pPr>
      <w:r>
        <w:rPr/>
      </w:r>
    </w:p>
    <w:p>
      <w:pPr>
        <w:pStyle w:val="Normal"/>
        <w:jc w:val="both"/>
        <w:rPr/>
      </w:pPr>
      <w:r>
        <w:rPr/>
      </w:r>
    </w:p>
    <w:p>
      <w:pPr>
        <w:pStyle w:val="Level2"/>
        <w:numPr>
          <w:ilvl w:val="1"/>
          <w:numId w:val="1"/>
        </w:numPr>
        <w:tabs>
          <w:tab w:val="left" w:pos="-1440" w:leader="none"/>
          <w:tab w:val="left" w:pos="1440" w:leader="none"/>
        </w:tabs>
        <w:jc w:val="both"/>
        <w:rPr/>
      </w:pPr>
      <w:r>
        <w:rPr/>
        <w:t>the impact of EC law on obligations owed by an African state in respect of debts on commodity sales.</w:t>
      </w:r>
    </w:p>
    <w:p>
      <w:pPr>
        <w:pStyle w:val="Normal"/>
        <w:jc w:val="both"/>
        <w:rPr/>
      </w:pPr>
      <w:r>
        <w:rPr/>
      </w:r>
    </w:p>
    <w:p>
      <w:pPr>
        <w:pStyle w:val="Normal"/>
        <w:jc w:val="both"/>
        <w:rPr/>
      </w:pPr>
      <w:r>
        <w:rPr/>
      </w:r>
    </w:p>
    <w:p>
      <w:pPr>
        <w:pStyle w:val="Level1"/>
        <w:numPr>
          <w:ilvl w:val="0"/>
          <w:numId w:val="1"/>
        </w:numPr>
        <w:tabs>
          <w:tab w:val="left" w:pos="-1440" w:leader="none"/>
          <w:tab w:val="left" w:pos="720" w:leader="none"/>
        </w:tabs>
        <w:jc w:val="both"/>
        <w:rPr/>
      </w:pPr>
      <w:r>
        <w:rPr/>
        <w:t xml:space="preserve">He has particular experience of jurisdiction disputes, both with and without a European element. Apart from the cases listed below, examples include </w:t>
      </w:r>
      <w:r>
        <w:rPr>
          <w:b/>
          <w:bCs/>
          <w:u w:val="single"/>
        </w:rPr>
        <w:t>the Rewia</w:t>
      </w:r>
      <w:r>
        <w:rPr/>
        <w:t xml:space="preserve">, a shipping case, </w:t>
      </w:r>
      <w:r>
        <w:rPr>
          <w:b/>
          <w:bCs/>
          <w:u w:val="single"/>
        </w:rPr>
        <w:t>IP Metal v Ruote Oz</w:t>
      </w:r>
      <w:r>
        <w:rPr/>
        <w:t xml:space="preserve"> , a commodities case and </w:t>
      </w:r>
      <w:r>
        <w:rPr>
          <w:b/>
          <w:bCs/>
          <w:u w:val="single"/>
        </w:rPr>
        <w:t>AGF v Chiyoda</w:t>
      </w:r>
      <w:r>
        <w:rPr/>
        <w:t>, an insurance case.</w:t>
      </w:r>
    </w:p>
    <w:p>
      <w:pPr>
        <w:pStyle w:val="Normal"/>
        <w:jc w:val="both"/>
        <w:rPr/>
      </w:pPr>
      <w:r>
        <w:rPr/>
      </w:r>
    </w:p>
    <w:p>
      <w:pPr>
        <w:pStyle w:val="Normal"/>
        <w:jc w:val="both"/>
        <w:rPr/>
      </w:pPr>
      <w:r>
        <w:rPr/>
      </w:r>
    </w:p>
    <w:p>
      <w:pPr>
        <w:pStyle w:val="Level1"/>
        <w:numPr>
          <w:ilvl w:val="0"/>
          <w:numId w:val="1"/>
        </w:numPr>
        <w:tabs>
          <w:tab w:val="left" w:pos="-1440" w:leader="none"/>
          <w:tab w:val="left" w:pos="720" w:leader="none"/>
        </w:tabs>
        <w:jc w:val="both"/>
        <w:rPr>
          <w:rFonts w:ascii="Univers;Arial" w:hAnsi="Univers;Arial" w:cs="Univers;Arial"/>
        </w:rPr>
      </w:pPr>
      <w:r>
        <w:rPr/>
        <w:t xml:space="preserve">He regards advocacy as a speciality. Among over 80 reported cases in which he appeared before taking silk, he argued the </w:t>
      </w:r>
      <w:r>
        <w:rPr>
          <w:b/>
          <w:bCs/>
          <w:u w:val="single"/>
        </w:rPr>
        <w:t>Boucraa</w:t>
      </w:r>
      <w:r>
        <w:rPr/>
        <w:t xml:space="preserve"> in the House of Lords as a junior. Since taking silk, among the cases he has argued at appellate level include </w:t>
      </w:r>
      <w:r>
        <w:rPr>
          <w:b/>
          <w:bCs/>
          <w:u w:val="single"/>
        </w:rPr>
        <w:t>Westacre v Jugoimport</w:t>
      </w:r>
      <w:r>
        <w:rPr/>
        <w:t xml:space="preserve">, on the impact of fraud and bribery on the enforceability of an </w:t>
      </w:r>
      <w:r>
        <w:rPr>
          <w:rFonts w:cs="Univers;Arial" w:ascii="Univers;Arial" w:hAnsi="Univers;Arial"/>
        </w:rPr>
        <w:t>arbitration award.</w:t>
      </w:r>
    </w:p>
    <w:p>
      <w:pPr>
        <w:pStyle w:val="Normal"/>
        <w:jc w:val="both"/>
        <w:rPr>
          <w:rFonts w:ascii="Univers;Arial" w:hAnsi="Univers;Arial" w:cs="Univers;Arial"/>
        </w:rPr>
      </w:pPr>
      <w:r>
        <w:rPr>
          <w:rFonts w:cs="Univers;Arial" w:ascii="Univers;Arial" w:hAnsi="Univers;Arial"/>
        </w:rPr>
      </w:r>
    </w:p>
    <w:p>
      <w:pPr>
        <w:pStyle w:val="Normal"/>
        <w:jc w:val="both"/>
        <w:rPr>
          <w:rFonts w:ascii="Univers;Arial" w:hAnsi="Univers;Arial" w:cs="Univers;Arial"/>
        </w:rPr>
      </w:pPr>
      <w:r>
        <w:rPr>
          <w:rFonts w:cs="Univers;Arial" w:ascii="Univers;Arial" w:hAnsi="Univers;Arial"/>
        </w:rPr>
      </w:r>
    </w:p>
    <w:p>
      <w:pPr>
        <w:pStyle w:val="Level1"/>
        <w:numPr>
          <w:ilvl w:val="0"/>
          <w:numId w:val="1"/>
        </w:numPr>
        <w:tabs>
          <w:tab w:val="left" w:pos="-1440" w:leader="none"/>
          <w:tab w:val="left" w:pos="720" w:leader="none"/>
        </w:tabs>
        <w:jc w:val="both"/>
        <w:rPr/>
      </w:pPr>
      <w:r>
        <w:rPr/>
        <w:t xml:space="preserve">Other "high profile" cases have included </w:t>
      </w:r>
      <w:r>
        <w:rPr>
          <w:b/>
          <w:bCs/>
          <w:u w:val="single"/>
        </w:rPr>
        <w:t>Henderson v Merrett</w:t>
      </w:r>
      <w:r>
        <w:rPr/>
        <w:t xml:space="preserve">, the </w:t>
      </w:r>
      <w:r>
        <w:rPr>
          <w:b/>
          <w:bCs/>
          <w:u w:val="single"/>
        </w:rPr>
        <w:t>Gooda Walker</w:t>
      </w:r>
      <w:r>
        <w:rPr/>
        <w:t xml:space="preserve"> Lloyd</w:t>
      </w:r>
      <w:r>
        <w:rPr>
          <w:rFonts w:eastAsia="WP TypographicSymbols;Courier New" w:cs="WP TypographicSymbols;Courier New" w:ascii="WP TypographicSymbols;Courier New" w:hAnsi="WP TypographicSymbols;Courier New"/>
        </w:rPr>
        <w:t>=</w:t>
      </w:r>
      <w:r>
        <w:rPr/>
        <w:t xml:space="preserve">s Names action, </w:t>
      </w:r>
      <w:r>
        <w:rPr>
          <w:b/>
          <w:bCs/>
          <w:u w:val="single"/>
        </w:rPr>
        <w:t>Banque Keyser Ullman v. Skandia</w:t>
      </w:r>
      <w:r>
        <w:rPr/>
        <w:t xml:space="preserve"> and </w:t>
      </w:r>
      <w:r>
        <w:rPr>
          <w:b/>
          <w:bCs/>
          <w:u w:val="single"/>
        </w:rPr>
        <w:t>Barings v Cooper &amp; Lybrand</w:t>
      </w:r>
      <w:r>
        <w:rPr/>
        <w:t xml:space="preserve"> (see below).</w:t>
      </w:r>
    </w:p>
    <w:p>
      <w:pPr>
        <w:pStyle w:val="Normal"/>
        <w:jc w:val="both"/>
        <w:rPr/>
      </w:pPr>
      <w:r>
        <w:rPr/>
      </w:r>
    </w:p>
    <w:p>
      <w:pPr>
        <w:pStyle w:val="Normal"/>
        <w:jc w:val="both"/>
        <w:rPr/>
      </w:pPr>
      <w:r>
        <w:rPr/>
      </w:r>
    </w:p>
    <w:p>
      <w:pPr>
        <w:pStyle w:val="Normal"/>
        <w:jc w:val="both"/>
        <w:rPr>
          <w:b/>
          <w:bCs/>
          <w:u w:val="single"/>
        </w:rPr>
      </w:pPr>
      <w:r>
        <w:rPr>
          <w:b/>
          <w:bCs/>
          <w:u w:val="single"/>
        </w:rPr>
        <w:t>B. BANKING</w:t>
      </w:r>
    </w:p>
    <w:p>
      <w:pPr>
        <w:pStyle w:val="Normal"/>
        <w:jc w:val="both"/>
        <w:rPr/>
      </w:pPr>
      <w:r>
        <w:rPr/>
      </w:r>
    </w:p>
    <w:p>
      <w:pPr>
        <w:pStyle w:val="Normal"/>
        <w:jc w:val="both"/>
        <w:rPr/>
      </w:pPr>
      <w:r>
        <w:rPr/>
      </w:r>
    </w:p>
    <w:p>
      <w:pPr>
        <w:pStyle w:val="Level1"/>
        <w:numPr>
          <w:ilvl w:val="0"/>
          <w:numId w:val="1"/>
        </w:numPr>
        <w:tabs>
          <w:tab w:val="left" w:pos="-1440" w:leader="none"/>
          <w:tab w:val="left" w:pos="720" w:leader="none"/>
        </w:tabs>
        <w:jc w:val="both"/>
        <w:rPr/>
      </w:pPr>
      <w:r>
        <w:rPr/>
        <w:t>His experience of many aspects of banking litigation includes loans and enforcement of security; management and supervision within banks; merchant bank advisory work in the context of takeovers; cheques, bills of exchange and documentary credits including UCP.</w:t>
      </w:r>
    </w:p>
    <w:p>
      <w:pPr>
        <w:pStyle w:val="Normal"/>
        <w:jc w:val="both"/>
        <w:rPr/>
      </w:pPr>
      <w:r>
        <w:rPr/>
      </w:r>
    </w:p>
    <w:p>
      <w:pPr>
        <w:pStyle w:val="Normal"/>
        <w:jc w:val="both"/>
        <w:rPr/>
      </w:pPr>
      <w:r>
        <w:rPr/>
      </w:r>
    </w:p>
    <w:p>
      <w:pPr>
        <w:pStyle w:val="Level1"/>
        <w:numPr>
          <w:ilvl w:val="0"/>
          <w:numId w:val="1"/>
        </w:numPr>
        <w:tabs>
          <w:tab w:val="left" w:pos="-1440" w:leader="none"/>
          <w:tab w:val="left" w:pos="720" w:leader="none"/>
        </w:tabs>
        <w:jc w:val="both"/>
        <w:rPr/>
      </w:pPr>
      <w:r>
        <w:rPr/>
        <w:t>Recent cases include</w:t>
      </w:r>
    </w:p>
    <w:p>
      <w:pPr>
        <w:pStyle w:val="Normal"/>
        <w:jc w:val="both"/>
        <w:rPr/>
      </w:pPr>
      <w:r>
        <w:rPr/>
      </w:r>
    </w:p>
    <w:p>
      <w:pPr>
        <w:pStyle w:val="Level2"/>
        <w:numPr>
          <w:ilvl w:val="1"/>
          <w:numId w:val="4"/>
        </w:numPr>
        <w:tabs>
          <w:tab w:val="left" w:pos="-1440" w:leader="none"/>
          <w:tab w:val="left" w:pos="1440" w:leader="none"/>
        </w:tabs>
        <w:jc w:val="both"/>
        <w:rPr/>
      </w:pPr>
      <w:r>
        <w:rPr/>
        <w:t xml:space="preserve">acting in the successful defence (in an 80-plus day trial) of </w:t>
      </w:r>
      <w:r>
        <w:rPr>
          <w:b/>
          <w:bCs/>
          <w:u w:val="single"/>
        </w:rPr>
        <w:t>Swiss Bank Corporation</w:t>
      </w:r>
      <w:r>
        <w:rPr/>
        <w:t xml:space="preserve"> (instructed by Linklaters &amp; Paines) in relation to advice given in the takeover of an English company;</w:t>
      </w:r>
    </w:p>
    <w:p>
      <w:pPr>
        <w:pStyle w:val="Normal"/>
        <w:jc w:val="both"/>
        <w:rPr/>
      </w:pPr>
      <w:r>
        <w:rPr/>
      </w:r>
    </w:p>
    <w:p>
      <w:pPr>
        <w:pStyle w:val="Normal"/>
        <w:jc w:val="both"/>
        <w:rPr/>
      </w:pPr>
      <w:r>
        <w:rPr/>
      </w:r>
    </w:p>
    <w:p>
      <w:pPr>
        <w:sectPr>
          <w:type w:val="continuous"/>
          <w:pgSz w:w="11906" w:h="16838"/>
          <w:pgMar w:left="1800" w:right="1800" w:gutter="0" w:header="1800" w:top="1856" w:footer="1800" w:bottom="1856"/>
          <w:formProt w:val="false"/>
          <w:textDirection w:val="lrTb"/>
          <w:docGrid w:type="default" w:linePitch="360" w:charSpace="0"/>
        </w:sectPr>
      </w:pPr>
    </w:p>
    <w:p>
      <w:pPr>
        <w:pStyle w:val="Level2"/>
        <w:numPr>
          <w:ilvl w:val="1"/>
          <w:numId w:val="1"/>
        </w:numPr>
        <w:tabs>
          <w:tab w:val="left" w:pos="-1440" w:leader="none"/>
          <w:tab w:val="left" w:pos="1440" w:leader="none"/>
        </w:tabs>
        <w:jc w:val="both"/>
        <w:rPr/>
      </w:pPr>
      <w:r>
        <w:rPr/>
        <w:t xml:space="preserve">acting for defendants in the current </w:t>
      </w:r>
      <w:r>
        <w:rPr>
          <w:b/>
          <w:bCs/>
          <w:u w:val="single"/>
        </w:rPr>
        <w:t>Barings</w:t>
      </w:r>
      <w:r>
        <w:rPr/>
        <w:t xml:space="preserve"> litigation, which raises high profile issues of the quality of management and supervision within Barings prior to its collapse;</w:t>
      </w:r>
    </w:p>
    <w:p>
      <w:pPr>
        <w:pStyle w:val="Normal"/>
        <w:jc w:val="both"/>
        <w:rPr/>
      </w:pPr>
      <w:r>
        <w:rPr/>
      </w:r>
    </w:p>
    <w:p>
      <w:pPr>
        <w:pStyle w:val="Normal"/>
        <w:jc w:val="both"/>
        <w:rPr/>
      </w:pPr>
      <w:r>
        <w:rPr/>
      </w:r>
    </w:p>
    <w:p>
      <w:pPr>
        <w:pStyle w:val="Level2"/>
        <w:numPr>
          <w:ilvl w:val="1"/>
          <w:numId w:val="1"/>
        </w:numPr>
        <w:tabs>
          <w:tab w:val="left" w:pos="-1440" w:leader="none"/>
          <w:tab w:val="left" w:pos="1440" w:leader="none"/>
        </w:tabs>
        <w:jc w:val="both"/>
        <w:rPr/>
      </w:pPr>
      <w:r>
        <w:rPr/>
        <w:t xml:space="preserve">appearing in the House of Lords in the leading "Gemstones" case, </w:t>
      </w:r>
      <w:r>
        <w:rPr>
          <w:b/>
          <w:bCs/>
          <w:u w:val="single"/>
        </w:rPr>
        <w:t>Banque Keyser Ullman v. Skandia</w:t>
      </w:r>
      <w:r>
        <w:rPr/>
        <w:t>;</w:t>
      </w:r>
    </w:p>
    <w:p>
      <w:pPr>
        <w:pStyle w:val="Normal"/>
        <w:jc w:val="both"/>
        <w:rPr/>
      </w:pPr>
      <w:r>
        <w:rPr/>
      </w:r>
    </w:p>
    <w:p>
      <w:pPr>
        <w:pStyle w:val="Normal"/>
        <w:jc w:val="both"/>
        <w:rPr/>
      </w:pPr>
      <w:r>
        <w:rPr/>
      </w:r>
    </w:p>
    <w:p>
      <w:pPr>
        <w:pStyle w:val="Level2"/>
        <w:numPr>
          <w:ilvl w:val="1"/>
          <w:numId w:val="1"/>
        </w:numPr>
        <w:tabs>
          <w:tab w:val="left" w:pos="-1440" w:leader="none"/>
          <w:tab w:val="left" w:pos="1440" w:leader="none"/>
        </w:tabs>
        <w:jc w:val="both"/>
        <w:rPr/>
      </w:pPr>
      <w:r>
        <w:rPr/>
        <w:t xml:space="preserve">resisting the unsuccessful claims of the </w:t>
      </w:r>
      <w:r>
        <w:rPr>
          <w:b/>
          <w:bCs/>
          <w:u w:val="single"/>
        </w:rPr>
        <w:t>National Bank of Greece</w:t>
      </w:r>
      <w:r>
        <w:rPr/>
        <w:t xml:space="preserve"> (instructed by Cameron Markby Hewitt) in relation to enforcement of security on loans made by its ship finance department.</w:t>
      </w:r>
    </w:p>
    <w:p>
      <w:pPr>
        <w:pStyle w:val="Normal"/>
        <w:jc w:val="both"/>
        <w:rPr/>
      </w:pPr>
      <w:r>
        <w:rPr/>
      </w:r>
    </w:p>
    <w:p>
      <w:pPr>
        <w:pStyle w:val="Normal"/>
        <w:jc w:val="both"/>
        <w:rPr/>
      </w:pPr>
      <w:r>
        <w:rPr/>
      </w:r>
    </w:p>
    <w:p>
      <w:pPr>
        <w:pStyle w:val="Level1"/>
        <w:numPr>
          <w:ilvl w:val="0"/>
          <w:numId w:val="1"/>
        </w:numPr>
        <w:tabs>
          <w:tab w:val="left" w:pos="-1440" w:leader="none"/>
          <w:tab w:val="left" w:pos="720" w:leader="none"/>
        </w:tabs>
        <w:jc w:val="both"/>
        <w:rPr/>
      </w:pPr>
      <w:r>
        <w:rPr/>
        <w:t xml:space="preserve">Experience in derivatives and other financial instruments has been gained from acting in </w:t>
      </w:r>
      <w:r>
        <w:rPr>
          <w:b/>
          <w:bCs/>
          <w:u w:val="single"/>
        </w:rPr>
        <w:t>Barings</w:t>
      </w:r>
      <w:r>
        <w:rPr/>
        <w:t xml:space="preserve">, as well acting in this field for </w:t>
      </w:r>
      <w:r>
        <w:rPr>
          <w:b/>
          <w:bCs/>
          <w:u w:val="single"/>
        </w:rPr>
        <w:t>Morgan Stanley</w:t>
      </w:r>
      <w:r>
        <w:rPr/>
        <w:t>.</w:t>
      </w:r>
    </w:p>
    <w:p>
      <w:pPr>
        <w:pStyle w:val="Normal"/>
        <w:jc w:val="both"/>
        <w:rPr/>
      </w:pPr>
      <w:r>
        <w:rPr/>
      </w:r>
    </w:p>
    <w:p>
      <w:pPr>
        <w:pStyle w:val="Normal"/>
        <w:jc w:val="both"/>
        <w:rPr/>
      </w:pPr>
      <w:r>
        <w:rPr/>
      </w:r>
    </w:p>
    <w:p>
      <w:pPr>
        <w:pStyle w:val="Normal"/>
        <w:jc w:val="both"/>
        <w:rPr>
          <w:b/>
          <w:bCs/>
          <w:u w:val="single"/>
        </w:rPr>
      </w:pPr>
      <w:r>
        <w:rPr>
          <w:b/>
          <w:bCs/>
          <w:u w:val="single"/>
        </w:rPr>
        <w:t>C. INSURANCE</w:t>
      </w:r>
    </w:p>
    <w:p>
      <w:pPr>
        <w:pStyle w:val="Normal"/>
        <w:jc w:val="both"/>
        <w:rPr/>
      </w:pPr>
      <w:r>
        <w:rPr/>
      </w:r>
    </w:p>
    <w:p>
      <w:pPr>
        <w:pStyle w:val="Normal"/>
        <w:jc w:val="both"/>
        <w:rPr/>
      </w:pPr>
      <w:r>
        <w:rPr/>
      </w:r>
    </w:p>
    <w:p>
      <w:pPr>
        <w:pStyle w:val="Level1"/>
        <w:numPr>
          <w:ilvl w:val="0"/>
          <w:numId w:val="1"/>
        </w:numPr>
        <w:tabs>
          <w:tab w:val="left" w:pos="-1440" w:leader="none"/>
          <w:tab w:val="left" w:pos="720" w:leader="none"/>
        </w:tabs>
        <w:jc w:val="both"/>
        <w:rPr/>
      </w:pPr>
      <w:r>
        <w:rPr/>
        <w:t>He has wide experience in all aspects of reinsurance and insurance. Among recent cases in which he has appeared are:</w:t>
      </w:r>
    </w:p>
    <w:p>
      <w:pPr>
        <w:pStyle w:val="Normal"/>
        <w:jc w:val="both"/>
        <w:rPr/>
      </w:pPr>
      <w:r>
        <w:rPr/>
      </w:r>
    </w:p>
    <w:p>
      <w:pPr>
        <w:pStyle w:val="Normal"/>
        <w:jc w:val="both"/>
        <w:rPr/>
      </w:pPr>
      <w:r>
        <w:rPr/>
      </w:r>
    </w:p>
    <w:p>
      <w:pPr>
        <w:pStyle w:val="Level2"/>
        <w:numPr>
          <w:ilvl w:val="1"/>
          <w:numId w:val="1"/>
        </w:numPr>
        <w:tabs>
          <w:tab w:val="left" w:pos="-1440" w:leader="none"/>
          <w:tab w:val="left" w:pos="1440" w:leader="none"/>
        </w:tabs>
        <w:jc w:val="both"/>
        <w:rPr/>
      </w:pPr>
      <w:r>
        <w:rPr>
          <w:b/>
          <w:bCs/>
          <w:u w:val="single"/>
        </w:rPr>
        <w:t>Kuwait Airways v Kuwait Insurance Co</w:t>
      </w:r>
      <w:r>
        <w:rPr/>
        <w:t>, a case concerning the insurance consequences of Saddam Hussein's theft of KAC's fleet of aircraft in the Iraqi invasion;</w:t>
      </w:r>
    </w:p>
    <w:p>
      <w:pPr>
        <w:pStyle w:val="Normal"/>
        <w:jc w:val="both"/>
        <w:rPr/>
      </w:pPr>
      <w:r>
        <w:rPr/>
      </w:r>
    </w:p>
    <w:p>
      <w:pPr>
        <w:pStyle w:val="Normal"/>
        <w:jc w:val="both"/>
        <w:rPr/>
      </w:pPr>
      <w:r>
        <w:rPr/>
      </w:r>
    </w:p>
    <w:p>
      <w:pPr>
        <w:pStyle w:val="Level2"/>
        <w:numPr>
          <w:ilvl w:val="1"/>
          <w:numId w:val="1"/>
        </w:numPr>
        <w:tabs>
          <w:tab w:val="left" w:pos="-1440" w:leader="none"/>
          <w:tab w:val="left" w:pos="1440" w:leader="none"/>
        </w:tabs>
        <w:jc w:val="both"/>
        <w:rPr>
          <w:rFonts w:ascii="Univers;Arial" w:hAnsi="Univers;Arial" w:cs="Univers;Arial"/>
        </w:rPr>
      </w:pPr>
      <w:r>
        <w:rPr/>
        <w:t xml:space="preserve">the </w:t>
      </w:r>
      <w:r>
        <w:rPr>
          <w:b/>
          <w:bCs/>
          <w:u w:val="single"/>
        </w:rPr>
        <w:t>Gooda Walker</w:t>
      </w:r>
      <w:r>
        <w:rPr/>
        <w:t xml:space="preserve"> litigation, the first and largest of the Lloyd's Names actions, together with various insurance disputes deriving from this, such as </w:t>
      </w:r>
      <w:r>
        <w:rPr>
          <w:b/>
          <w:bCs/>
          <w:u w:val="single"/>
        </w:rPr>
        <w:t>Cox v Bankside</w:t>
      </w:r>
      <w:r>
        <w:rPr/>
        <w:t xml:space="preserve"> and </w:t>
      </w:r>
      <w:r>
        <w:rPr>
          <w:b/>
          <w:bCs/>
          <w:u w:val="single"/>
        </w:rPr>
        <w:t>Cox v Deeny</w:t>
      </w:r>
      <w:r>
        <w:rPr/>
        <w:t xml:space="preserve">; an aspect of this dispute went to </w:t>
      </w:r>
      <w:r>
        <w:rPr>
          <w:rFonts w:cs="Univers;Arial" w:ascii="Univers;Arial" w:hAnsi="Univers;Arial"/>
        </w:rPr>
        <w:t xml:space="preserve">House of Lords and became a leading authority on duty of care: </w:t>
      </w:r>
      <w:r>
        <w:rPr>
          <w:rFonts w:cs="Univers;Arial" w:ascii="Univers;Arial" w:hAnsi="Univers;Arial"/>
          <w:b/>
          <w:bCs/>
          <w:u w:val="single"/>
        </w:rPr>
        <w:t>Henderson v Merrett</w:t>
      </w:r>
      <w:r>
        <w:rPr>
          <w:rFonts w:cs="Univers;Arial" w:ascii="Univers;Arial" w:hAnsi="Univers;Arial"/>
        </w:rPr>
        <w:t>;</w:t>
      </w:r>
    </w:p>
    <w:p>
      <w:pPr>
        <w:pStyle w:val="Normal"/>
        <w:jc w:val="both"/>
        <w:rPr>
          <w:rFonts w:ascii="Univers;Arial" w:hAnsi="Univers;Arial" w:cs="Univers;Arial"/>
        </w:rPr>
      </w:pPr>
      <w:r>
        <w:rPr>
          <w:rFonts w:cs="Univers;Arial" w:ascii="Univers;Arial" w:hAnsi="Univers;Arial"/>
        </w:rPr>
      </w:r>
    </w:p>
    <w:p>
      <w:pPr>
        <w:pStyle w:val="Normal"/>
        <w:jc w:val="both"/>
        <w:rPr>
          <w:rFonts w:ascii="Univers;Arial" w:hAnsi="Univers;Arial" w:cs="Univers;Arial"/>
        </w:rPr>
      </w:pPr>
      <w:r>
        <w:rPr>
          <w:rFonts w:cs="Univers;Arial" w:ascii="Univers;Arial" w:hAnsi="Univers;Arial"/>
        </w:rPr>
      </w:r>
    </w:p>
    <w:p>
      <w:pPr>
        <w:pStyle w:val="Level2"/>
        <w:numPr>
          <w:ilvl w:val="1"/>
          <w:numId w:val="1"/>
        </w:numPr>
        <w:tabs>
          <w:tab w:val="left" w:pos="-1440" w:leader="none"/>
          <w:tab w:val="left" w:pos="1440" w:leader="none"/>
        </w:tabs>
        <w:jc w:val="both"/>
        <w:rPr/>
      </w:pPr>
      <w:r>
        <w:rPr/>
        <w:t xml:space="preserve">a recent seminal case in duties of reinsurance brokers in respect of the payment of premium: </w:t>
      </w:r>
      <w:r>
        <w:rPr>
          <w:b/>
          <w:bCs/>
          <w:u w:val="single"/>
        </w:rPr>
        <w:t>Pacific General v Hazell</w:t>
      </w:r>
      <w:r>
        <w:rPr/>
        <w:t>;</w:t>
      </w:r>
    </w:p>
    <w:p>
      <w:pPr>
        <w:pStyle w:val="Normal"/>
        <w:jc w:val="both"/>
        <w:rPr/>
      </w:pPr>
      <w:r>
        <w:rPr/>
      </w:r>
    </w:p>
    <w:p>
      <w:pPr>
        <w:pStyle w:val="Normal"/>
        <w:jc w:val="both"/>
        <w:rPr/>
      </w:pPr>
      <w:r>
        <w:rPr/>
      </w:r>
    </w:p>
    <w:p>
      <w:pPr>
        <w:pStyle w:val="Level2"/>
        <w:numPr>
          <w:ilvl w:val="1"/>
          <w:numId w:val="1"/>
        </w:numPr>
        <w:tabs>
          <w:tab w:val="left" w:pos="-1440" w:leader="none"/>
          <w:tab w:val="left" w:pos="1440" w:leader="none"/>
        </w:tabs>
        <w:jc w:val="both"/>
        <w:rPr/>
      </w:pPr>
      <w:r>
        <w:rPr/>
        <w:t xml:space="preserve">an important decision on reinsurers' rights to attack insurers' claim to privilege: </w:t>
      </w:r>
      <w:r>
        <w:rPr>
          <w:b/>
          <w:bCs/>
          <w:u w:val="single"/>
        </w:rPr>
        <w:t>Commercial Union v Mander</w:t>
      </w:r>
      <w:r>
        <w:rPr/>
        <w:t>;</w:t>
      </w:r>
    </w:p>
    <w:p>
      <w:pPr>
        <w:sectPr>
          <w:type w:val="continuous"/>
          <w:pgSz w:w="11906" w:h="16838"/>
          <w:pgMar w:left="1800" w:right="1800" w:gutter="0" w:header="1800" w:top="1856" w:footer="1800" w:bottom="1856"/>
          <w:formProt w:val="false"/>
          <w:textDirection w:val="lrTb"/>
          <w:docGrid w:type="default" w:linePitch="360" w:charSpace="0"/>
        </w:sectPr>
      </w:pPr>
    </w:p>
    <w:p>
      <w:pPr>
        <w:pStyle w:val="Normal"/>
        <w:jc w:val="both"/>
        <w:rPr/>
      </w:pPr>
      <w:r>
        <w:rPr/>
      </w:r>
    </w:p>
    <w:p>
      <w:pPr>
        <w:pStyle w:val="Normal"/>
        <w:jc w:val="both"/>
        <w:rPr/>
      </w:pPr>
      <w:r>
        <w:rPr/>
      </w:r>
    </w:p>
    <w:p>
      <w:pPr>
        <w:pStyle w:val="Level2"/>
        <w:numPr>
          <w:ilvl w:val="1"/>
          <w:numId w:val="1"/>
        </w:numPr>
        <w:tabs>
          <w:tab w:val="left" w:pos="-1440" w:leader="none"/>
          <w:tab w:val="left" w:pos="1440" w:leader="none"/>
        </w:tabs>
        <w:jc w:val="both"/>
        <w:rPr>
          <w:rFonts w:ascii="Univers;Arial" w:hAnsi="Univers;Arial" w:cs="Univers;Arial"/>
        </w:rPr>
      </w:pPr>
      <w:r>
        <w:rPr/>
        <w:t xml:space="preserve">in the </w:t>
      </w:r>
      <w:r>
        <w:rPr>
          <w:rFonts w:cs="Univers;Arial" w:ascii="Univers;Arial" w:hAnsi="Univers;Arial"/>
        </w:rPr>
        <w:t>Court of Appeal, a case on the marine insurance broker</w:t>
      </w:r>
      <w:r>
        <w:rPr>
          <w:rFonts w:eastAsia="WP TypographicSymbols;Courier New" w:cs="WP TypographicSymbols;Courier New" w:ascii="WP TypographicSymbols;Courier New" w:hAnsi="WP TypographicSymbols;Courier New"/>
        </w:rPr>
        <w:t>=</w:t>
      </w:r>
      <w:r>
        <w:rPr>
          <w:rFonts w:cs="Univers;Arial" w:ascii="Univers;Arial" w:hAnsi="Univers;Arial"/>
        </w:rPr>
        <w:t xml:space="preserve">s lien, </w:t>
      </w:r>
      <w:r>
        <w:rPr>
          <w:rFonts w:cs="Univers;Arial" w:ascii="Univers;Arial" w:hAnsi="Univers;Arial"/>
          <w:b/>
          <w:bCs/>
          <w:u w:val="single"/>
        </w:rPr>
        <w:t>Eide v Lowndes Lambert</w:t>
      </w:r>
      <w:r>
        <w:rPr>
          <w:rFonts w:cs="Univers;Arial" w:ascii="Univers;Arial" w:hAnsi="Univers;Arial"/>
        </w:rPr>
        <w:t>;</w:t>
      </w:r>
    </w:p>
    <w:p>
      <w:pPr>
        <w:pStyle w:val="Normal"/>
        <w:jc w:val="both"/>
        <w:rPr>
          <w:rFonts w:ascii="Univers;Arial" w:hAnsi="Univers;Arial" w:cs="Univers;Arial"/>
        </w:rPr>
      </w:pPr>
      <w:r>
        <w:rPr>
          <w:rFonts w:cs="Univers;Arial" w:ascii="Univers;Arial" w:hAnsi="Univers;Arial"/>
        </w:rPr>
      </w:r>
    </w:p>
    <w:p>
      <w:pPr>
        <w:pStyle w:val="Normal"/>
        <w:jc w:val="both"/>
        <w:rPr>
          <w:rFonts w:ascii="Univers;Arial" w:hAnsi="Univers;Arial" w:cs="Univers;Arial"/>
        </w:rPr>
      </w:pPr>
      <w:r>
        <w:rPr>
          <w:rFonts w:cs="Univers;Arial" w:ascii="Univers;Arial" w:hAnsi="Univers;Arial"/>
        </w:rPr>
      </w:r>
    </w:p>
    <w:p>
      <w:pPr>
        <w:pStyle w:val="Level2"/>
        <w:numPr>
          <w:ilvl w:val="1"/>
          <w:numId w:val="1"/>
        </w:numPr>
        <w:tabs>
          <w:tab w:val="left" w:pos="-1440" w:leader="none"/>
          <w:tab w:val="left" w:pos="1440" w:leader="none"/>
        </w:tabs>
        <w:jc w:val="both"/>
        <w:rPr>
          <w:rFonts w:ascii="Univers;Arial" w:hAnsi="Univers;Arial" w:cs="Univers;Arial"/>
        </w:rPr>
      </w:pPr>
      <w:r>
        <w:rPr/>
        <w:t>a Russian oligarch</w:t>
      </w:r>
      <w:r>
        <w:rPr>
          <w:rFonts w:eastAsia="WP TypographicSymbols;Courier New" w:cs="WP TypographicSymbols;Courier New" w:ascii="WP TypographicSymbols;Courier New" w:hAnsi="WP TypographicSymbols;Courier New"/>
        </w:rPr>
        <w:t>=</w:t>
      </w:r>
      <w:r>
        <w:rPr/>
        <w:t xml:space="preserve">s </w:t>
      </w:r>
      <w:r>
        <w:rPr>
          <w:rFonts w:cs="Univers;Arial" w:ascii="Univers;Arial" w:hAnsi="Univers;Arial"/>
        </w:rPr>
        <w:t xml:space="preserve">insurance claim, </w:t>
      </w:r>
      <w:r>
        <w:rPr>
          <w:rFonts w:cs="Univers;Arial" w:ascii="Univers;Arial" w:hAnsi="Univers;Arial"/>
          <w:b/>
          <w:bCs/>
          <w:u w:val="single"/>
        </w:rPr>
        <w:t>Decorum v Atkins</w:t>
      </w:r>
      <w:r>
        <w:rPr>
          <w:rFonts w:cs="Univers;Arial" w:ascii="Univers;Arial" w:hAnsi="Univers;Arial"/>
        </w:rPr>
        <w:t>, unsuccessfully resisted on the ground that the assured failed to disclose that he represented an undue risk.</w:t>
      </w:r>
    </w:p>
    <w:p>
      <w:pPr>
        <w:pStyle w:val="Normal"/>
        <w:jc w:val="both"/>
        <w:rPr>
          <w:rFonts w:ascii="Univers;Arial" w:hAnsi="Univers;Arial" w:cs="Univers;Arial"/>
        </w:rPr>
      </w:pPr>
      <w:r>
        <w:rPr>
          <w:rFonts w:cs="Univers;Arial" w:ascii="Univers;Arial" w:hAnsi="Univers;Arial"/>
        </w:rPr>
      </w:r>
    </w:p>
    <w:p>
      <w:pPr>
        <w:pStyle w:val="Normal"/>
        <w:jc w:val="both"/>
        <w:rPr>
          <w:rFonts w:ascii="Univers;Arial" w:hAnsi="Univers;Arial" w:cs="Univers;Arial"/>
        </w:rPr>
      </w:pPr>
      <w:r>
        <w:rPr>
          <w:rFonts w:cs="Univers;Arial" w:ascii="Univers;Arial" w:hAnsi="Univers;Arial"/>
        </w:rPr>
      </w:r>
    </w:p>
    <w:p>
      <w:pPr>
        <w:pStyle w:val="Normal"/>
        <w:jc w:val="both"/>
        <w:rPr>
          <w:rFonts w:ascii="Univers;Arial" w:hAnsi="Univers;Arial" w:cs="Univers;Arial"/>
        </w:rPr>
      </w:pPr>
      <w:r>
        <w:rPr>
          <w:rFonts w:cs="Univers;Arial" w:ascii="Univers;Arial" w:hAnsi="Univers;Arial"/>
          <w:b/>
          <w:bCs/>
          <w:u w:val="single"/>
        </w:rPr>
        <w:t>D. PROFESSIONAL NEGLIGENCE</w:t>
      </w:r>
    </w:p>
    <w:p>
      <w:pPr>
        <w:pStyle w:val="Normal"/>
        <w:jc w:val="both"/>
        <w:rPr>
          <w:rFonts w:ascii="Univers;Arial" w:hAnsi="Univers;Arial" w:cs="Univers;Arial"/>
        </w:rPr>
      </w:pPr>
      <w:r>
        <w:rPr>
          <w:rFonts w:cs="Univers;Arial" w:ascii="Univers;Arial" w:hAnsi="Univers;Arial"/>
        </w:rPr>
      </w:r>
    </w:p>
    <w:p>
      <w:pPr>
        <w:pStyle w:val="Normal"/>
        <w:jc w:val="both"/>
        <w:rPr>
          <w:rFonts w:ascii="Univers;Arial" w:hAnsi="Univers;Arial" w:cs="Univers;Arial"/>
        </w:rPr>
      </w:pPr>
      <w:r>
        <w:rPr>
          <w:rFonts w:cs="Univers;Arial" w:ascii="Univers;Arial" w:hAnsi="Univers;Arial"/>
        </w:rPr>
      </w:r>
    </w:p>
    <w:p>
      <w:pPr>
        <w:pStyle w:val="Level1"/>
        <w:numPr>
          <w:ilvl w:val="0"/>
          <w:numId w:val="1"/>
        </w:numPr>
        <w:tabs>
          <w:tab w:val="left" w:pos="-1440" w:leader="none"/>
          <w:tab w:val="left" w:pos="720" w:leader="none"/>
        </w:tabs>
        <w:jc w:val="both"/>
        <w:rPr/>
      </w:pPr>
      <w:r>
        <w:rPr/>
        <w:t xml:space="preserve">He has dealt extensively with cases involving the professional negligence of solicitors, auditors, underwriters and brokers, actuaries and bankers.  </w:t>
      </w:r>
      <w:r>
        <w:rPr>
          <w:b/>
          <w:bCs/>
          <w:u w:val="single"/>
        </w:rPr>
        <w:t>Gooda Walker</w:t>
      </w:r>
      <w:r>
        <w:rPr/>
        <w:t xml:space="preserve">, </w:t>
      </w:r>
      <w:r>
        <w:rPr>
          <w:b/>
          <w:bCs/>
          <w:u w:val="single"/>
        </w:rPr>
        <w:t>Barings</w:t>
      </w:r>
      <w:r>
        <w:rPr/>
        <w:t xml:space="preserve"> and the </w:t>
      </w:r>
      <w:r>
        <w:rPr>
          <w:b/>
          <w:bCs/>
          <w:u w:val="single"/>
        </w:rPr>
        <w:t>Swiss Bank Corporation</w:t>
      </w:r>
      <w:r>
        <w:rPr/>
        <w:t xml:space="preserve"> are recent cases in this field.</w:t>
      </w:r>
    </w:p>
    <w:p>
      <w:pPr>
        <w:pStyle w:val="Normal"/>
        <w:jc w:val="both"/>
        <w:rPr/>
      </w:pPr>
      <w:r>
        <w:rPr/>
      </w:r>
    </w:p>
    <w:p>
      <w:pPr>
        <w:pStyle w:val="Normal"/>
        <w:jc w:val="both"/>
        <w:rPr/>
      </w:pPr>
      <w:r>
        <w:rPr/>
      </w:r>
    </w:p>
    <w:p>
      <w:pPr>
        <w:pStyle w:val="Normal"/>
        <w:jc w:val="both"/>
        <w:rPr>
          <w:b/>
          <w:bCs/>
          <w:u w:val="single"/>
        </w:rPr>
      </w:pPr>
      <w:r>
        <w:rPr>
          <w:b/>
          <w:bCs/>
          <w:u w:val="single"/>
        </w:rPr>
        <w:t>E. SHIPPING</w:t>
      </w:r>
    </w:p>
    <w:p>
      <w:pPr>
        <w:pStyle w:val="Normal"/>
        <w:jc w:val="both"/>
        <w:rPr/>
      </w:pPr>
      <w:r>
        <w:rPr/>
      </w:r>
    </w:p>
    <w:p>
      <w:pPr>
        <w:pStyle w:val="Normal"/>
        <w:jc w:val="both"/>
        <w:rPr/>
      </w:pPr>
      <w:r>
        <w:rPr/>
      </w:r>
    </w:p>
    <w:p>
      <w:pPr>
        <w:pStyle w:val="Level1"/>
        <w:numPr>
          <w:ilvl w:val="0"/>
          <w:numId w:val="1"/>
        </w:numPr>
        <w:tabs>
          <w:tab w:val="left" w:pos="-1440" w:leader="none"/>
          <w:tab w:val="left" w:pos="720" w:leader="none"/>
        </w:tabs>
        <w:jc w:val="both"/>
        <w:rPr>
          <w:rFonts w:ascii="Univers;Arial" w:hAnsi="Univers;Arial" w:cs="Univers;Arial"/>
        </w:rPr>
      </w:pPr>
      <w:r>
        <w:rPr/>
        <w:t xml:space="preserve">He has experience of all aspects of shipping and ship finance litigation and arbitration, except collision cases. He has experience in marine insurance cases. He argued the </w:t>
      </w:r>
      <w:r>
        <w:rPr>
          <w:b/>
          <w:bCs/>
          <w:u w:val="single"/>
        </w:rPr>
        <w:t>Berge Sisar</w:t>
      </w:r>
      <w:r>
        <w:rPr/>
        <w:t xml:space="preserve">, a case on the Carriage of Goods by Sea Act 1992,  in the </w:t>
      </w:r>
      <w:r>
        <w:rPr>
          <w:rFonts w:cs="Univers;Arial" w:ascii="Univers;Arial" w:hAnsi="Univers;Arial"/>
        </w:rPr>
        <w:t>House of Lords last year.</w:t>
      </w:r>
    </w:p>
    <w:sectPr>
      <w:type w:val="continuous"/>
      <w:pgSz w:w="11906" w:h="16838"/>
      <w:pgMar w:left="1800" w:right="1800" w:gutter="0" w:header="1800" w:top="1856" w:footer="1800" w:bottom="185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altName w:val="Arial"/>
    <w:charset w:val="00" w:characterSet="windows-1252"/>
    <w:family w:val="swiss"/>
    <w:pitch w:val="variable"/>
  </w:font>
  <w:font w:name="WP TypographicSymbols">
    <w:altName w:val="Courier New"/>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lowerLetter"/>
      <w:lvlText w:val="(%3)"/>
      <w:lvlJc w:val="start"/>
      <w:pPr>
        <w:tabs>
          <w:tab w:val="num" w:pos="0"/>
        </w:tabs>
        <w:ind w:start="0" w:hanging="0"/>
      </w:pPr>
    </w:lvl>
    <w:lvl w:ilvl="3">
      <w:start w:val="1"/>
      <w:numFmt w:val="lowerRoman"/>
      <w:lvlText w:val="(%4)"/>
      <w:lvlJc w:val="start"/>
      <w:pPr>
        <w:tabs>
          <w:tab w:val="num" w:pos="0"/>
        </w:tabs>
        <w:ind w:start="0" w:hanging="0"/>
      </w:pPr>
    </w:lvl>
    <w:lvl w:ilvl="4">
      <w:start w:val="1"/>
      <w:numFmt w:val="decimal"/>
      <w:lvlText w:val=""/>
      <w:lvlJc w:val="start"/>
      <w:pPr>
        <w:tabs>
          <w:tab w:val="num" w:pos="0"/>
        </w:tabs>
        <w:ind w:start="0" w:hanging="0"/>
      </w:pPr>
    </w:lvl>
    <w:lvl w:ilvl="5">
      <w:start w:val="1"/>
      <w:numFmt w:val="decimal"/>
      <w:lvlText w:val=""/>
      <w:lvlJc w:val="start"/>
      <w:pPr>
        <w:tabs>
          <w:tab w:val="num" w:pos="0"/>
        </w:tabs>
        <w:ind w:start="0" w:hanging="0"/>
      </w:pPr>
    </w:lvl>
    <w:lvl w:ilvl="6">
      <w:start w:val="1"/>
      <w:numFmt w:val="decimal"/>
      <w:lvlText w:val=""/>
      <w:lvlJc w:val="start"/>
      <w:pPr>
        <w:tabs>
          <w:tab w:val="num" w:pos="0"/>
        </w:tabs>
        <w:ind w:start="0" w:hanging="0"/>
      </w:pPr>
    </w:lvl>
    <w:lvl w:ilvl="7">
      <w:start w:val="1"/>
      <w:numFmt w:val="decimal"/>
      <w:lvlText w:val=""/>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1"/>
    <w:lvlOverride w:ilvl="0">
      <w:startOverride w:val="13440"/>
    </w:lvlOverride>
  </w:num>
  <w:num w:numId="4">
    <w:abstractNumId w:val="1"/>
    <w:lvlOverride w:ilvl="0">
      <w:startOverride w:val="1"/>
    </w:lvlOverride>
    <w:lvlOverride w:ilvl="1">
      <w:startOverride w:val="45916"/>
    </w:lvlOverride>
  </w:num>
</w:numbering>
</file>

<file path=word/settings.xml><?xml version="1.0" encoding="utf-8"?>
<w:settings xmlns:w="http://schemas.openxmlformats.org/wordprocessingml/2006/main">
  <w:zoom w:percent="100"/>
  <w:defaultTabStop w:val="720"/>
  <w:autoHyphenation w:val="true"/>
  <w:hyphenationZone w:val="0"/>
  <w:compat>
    <w:usePrinterMetrics/>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1"/>
      </w:numPr>
      <w:tabs>
        <w:tab w:val="clear" w:pos="720"/>
      </w:tabs>
      <w:ind w:hanging="720" w:start="720" w:end="0"/>
      <w:outlineLvl w:val="0"/>
    </w:pPr>
    <w:rPr/>
  </w:style>
  <w:style w:type="paragraph" w:styleId="Level2">
    <w:name w:val="Level 2"/>
    <w:basedOn w:val="Normal"/>
    <w:qFormat/>
    <w:pPr>
      <w:numPr>
        <w:ilvl w:val="0"/>
        <w:numId w:val="1"/>
      </w:numPr>
      <w:tabs>
        <w:tab w:val="clear" w:pos="720"/>
      </w:tabs>
      <w:ind w:hanging="720" w:start="1440" w:end="0"/>
      <w:outlineLvl w:val="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2001-11-06T15:32:00Z</dcterms:created>
  <dc:creator>Greg Leyden</dc:creator>
  <dc:description/>
  <dc:language>en-CA</dc:language>
  <cp:lastModifiedBy>Any Authorised User</cp:lastModifiedBy>
  <dcterms:modified xsi:type="dcterms:W3CDTF">2001-11-06T15:32:00Z</dcterms:modified>
  <cp:revision>2</cp:revision>
  <dc:subject/>
  <dc:title/>
</cp:coreProperties>
</file>