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rPr/>
      </w:pPr>
      <w:r>
        <w:rPr/>
        <w:t>CXW, HMD/MLC, JJJ/dmm  3/8/2001</w:t>
      </w:r>
    </w:p>
    <w:p>
      <w:pPr>
        <w:pStyle w:val="Header"/>
        <w:rPr/>
      </w:pPr>
      <w:r>
        <w:rPr/>
      </w:r>
    </w:p>
    <w:p>
      <w:pPr>
        <w:pStyle w:val="Header"/>
        <w:rPr/>
      </w:pPr>
      <w:r>
        <w:rPr/>
      </w:r>
    </w:p>
    <w:p>
      <w:pPr>
        <w:pStyle w:val="Header"/>
        <w:rPr/>
      </w:pPr>
      <w:r>
        <w:rPr/>
      </w:r>
    </w:p>
    <w:p>
      <w:pPr>
        <w:pStyle w:val="Header"/>
        <w:rPr/>
      </w:pPr>
      <w:r>
        <w:rPr/>
      </w:r>
    </w:p>
    <w:p>
      <w:pPr>
        <w:pStyle w:val="main"/>
        <w:rPr>
          <w:sz w:val="24"/>
        </w:rPr>
      </w:pPr>
      <w:r>
        <w:rPr>
          <w:sz w:val="24"/>
        </w:rPr>
        <w:t>BEFORE THE PUBLIC UTILITIES COMMISSION OF THE STATE OF CALIFORNIA</w:t>
      </w:r>
    </w:p>
    <w:p>
      <w:pPr>
        <w:pStyle w:val="Normal"/>
        <w:suppressAutoHyphens w:val="true"/>
        <w:rPr>
          <w:sz w:val="24"/>
        </w:rPr>
      </w:pPr>
      <w:r>
        <w:rPr>
          <w:sz w:val="24"/>
        </w:rPr>
      </w:r>
    </w:p>
    <w:tbl>
      <w:tblPr>
        <w:tblW w:w="9245" w:type="dxa"/>
        <w:jc w:val="start"/>
        <w:tblInd w:w="0" w:type="dxa"/>
        <w:tblLayout w:type="fixed"/>
        <w:tblCellMar>
          <w:top w:w="0" w:type="dxa"/>
          <w:start w:w="108" w:type="dxa"/>
          <w:bottom w:w="0" w:type="dxa"/>
          <w:end w:w="108" w:type="dxa"/>
        </w:tblCellMar>
      </w:tblPr>
      <w:tblGrid>
        <w:gridCol w:w="5958"/>
        <w:gridCol w:w="3287"/>
      </w:tblGrid>
      <w:tr>
        <w:trPr/>
        <w:tc>
          <w:tcPr>
            <w:tcW w:w="5958" w:type="dxa"/>
            <w:tcBorders>
              <w:end w:val="single" w:sz="6" w:space="0" w:color="000000"/>
            </w:tcBorders>
          </w:tcPr>
          <w:p>
            <w:pPr>
              <w:pStyle w:val="Normal"/>
              <w:tabs>
                <w:tab w:val="clear" w:pos="720"/>
                <w:tab w:val="left" w:pos="2160" w:leader="none"/>
                <w:tab w:val="left" w:pos="3600" w:leader="none"/>
              </w:tabs>
              <w:rPr/>
            </w:pPr>
            <w:r>
              <w:rPr/>
              <w:t>Order Instituting Investigation on the Commission’s Own Motion to Implement the Biennial Resource Plan Update Following the California Energy Commission’s Seventh Electricity Report.</w:t>
            </w:r>
          </w:p>
          <w:p>
            <w:pPr>
              <w:pStyle w:val="Normal"/>
              <w:rPr/>
            </w:pPr>
            <w:r>
              <w:rPr/>
            </w:r>
          </w:p>
        </w:tc>
        <w:tc>
          <w:tcPr>
            <w:tcW w:w="3287" w:type="dxa"/>
            <w:tcBorders/>
          </w:tcPr>
          <w:p>
            <w:pPr>
              <w:pStyle w:val="Normal"/>
              <w:snapToGrid w:val="false"/>
              <w:jc w:val="center"/>
              <w:rPr/>
            </w:pPr>
            <w:r>
              <w:rPr/>
            </w:r>
          </w:p>
          <w:p>
            <w:pPr>
              <w:pStyle w:val="Normal"/>
              <w:jc w:val="center"/>
              <w:rPr/>
            </w:pPr>
            <w:r>
              <w:rPr/>
            </w:r>
          </w:p>
          <w:p>
            <w:pPr>
              <w:pStyle w:val="Normal"/>
              <w:jc w:val="center"/>
              <w:rPr/>
            </w:pPr>
            <w:r>
              <w:rPr/>
              <w:t>Investigation 89-07-004</w:t>
            </w:r>
          </w:p>
          <w:p>
            <w:pPr>
              <w:pStyle w:val="Normal"/>
              <w:jc w:val="center"/>
              <w:rPr/>
            </w:pPr>
            <w:r>
              <w:rPr/>
              <w:t>(Filed July 6, 1989)</w:t>
            </w:r>
          </w:p>
        </w:tc>
      </w:tr>
      <w:tr>
        <w:trPr/>
        <w:tc>
          <w:tcPr>
            <w:tcW w:w="5958" w:type="dxa"/>
            <w:tcBorders>
              <w:top w:val="single" w:sz="4" w:space="0" w:color="000000"/>
              <w:bottom w:val="single" w:sz="6" w:space="0" w:color="000000"/>
              <w:end w:val="single" w:sz="6" w:space="0" w:color="000000"/>
            </w:tcBorders>
          </w:tcPr>
          <w:p>
            <w:pPr>
              <w:pStyle w:val="Normal"/>
              <w:tabs>
                <w:tab w:val="clear" w:pos="720"/>
                <w:tab w:val="left" w:pos="2160" w:leader="none"/>
                <w:tab w:val="left" w:pos="3600" w:leader="none"/>
              </w:tabs>
              <w:snapToGrid w:val="false"/>
              <w:rPr/>
            </w:pPr>
            <w:r>
              <w:rPr/>
            </w:r>
          </w:p>
          <w:p>
            <w:pPr>
              <w:pStyle w:val="Normal"/>
              <w:tabs>
                <w:tab w:val="clear" w:pos="720"/>
                <w:tab w:val="left" w:pos="2160" w:leader="none"/>
                <w:tab w:val="left" w:pos="3600" w:leader="none"/>
              </w:tabs>
              <w:rPr/>
            </w:pPr>
            <w:r>
              <w:rPr/>
              <w:t>Order Instituting Rulemaking into Implementation of Pub. Util. Code § 390.</w:t>
            </w:r>
          </w:p>
          <w:p>
            <w:pPr>
              <w:pStyle w:val="Normal"/>
              <w:tabs>
                <w:tab w:val="clear" w:pos="720"/>
                <w:tab w:val="left" w:pos="2160" w:leader="none"/>
                <w:tab w:val="left" w:pos="3600" w:leader="none"/>
              </w:tabs>
              <w:rPr/>
            </w:pPr>
            <w:r>
              <w:rPr/>
            </w:r>
          </w:p>
        </w:tc>
        <w:tc>
          <w:tcPr>
            <w:tcW w:w="3287" w:type="dxa"/>
            <w:tcBorders/>
          </w:tcPr>
          <w:p>
            <w:pPr>
              <w:pStyle w:val="Normal"/>
              <w:snapToGrid w:val="false"/>
              <w:jc w:val="center"/>
              <w:rPr/>
            </w:pPr>
            <w:r>
              <w:rPr/>
            </w:r>
          </w:p>
          <w:p>
            <w:pPr>
              <w:pStyle w:val="Normal"/>
              <w:jc w:val="center"/>
              <w:rPr/>
            </w:pPr>
            <w:r>
              <w:rPr/>
              <w:t>Rulemaking 99-11-022</w:t>
            </w:r>
          </w:p>
          <w:p>
            <w:pPr>
              <w:pStyle w:val="Normal"/>
              <w:jc w:val="center"/>
              <w:rPr/>
            </w:pPr>
            <w:r>
              <w:rPr/>
              <w:t>(Filed November 18, 1999)</w:t>
            </w:r>
          </w:p>
        </w:tc>
      </w:tr>
    </w:tbl>
    <w:p>
      <w:pPr>
        <w:pStyle w:val="Normal"/>
        <w:suppressAutoHyphens w:val="true"/>
        <w:rPr/>
      </w:pPr>
      <w:r>
        <w:rPr/>
      </w:r>
    </w:p>
    <w:p>
      <w:pPr>
        <w:pStyle w:val="Normal"/>
        <w:rPr/>
      </w:pPr>
      <w:r>
        <w:rPr/>
      </w:r>
    </w:p>
    <w:p>
      <w:pPr>
        <w:pStyle w:val="main"/>
        <w:rPr/>
      </w:pPr>
      <w:r>
        <w:rPr/>
        <w:t xml:space="preserve">JOINT ASSIGNED COMMISSIONERS AND </w:t>
      </w:r>
    </w:p>
    <w:p>
      <w:pPr>
        <w:pStyle w:val="main"/>
        <w:rPr/>
      </w:pPr>
      <w:r>
        <w:rPr/>
        <w:t xml:space="preserve">ADMINISTRATIVE LAW JUDGES’ RULING </w:t>
      </w:r>
    </w:p>
    <w:p>
      <w:pPr>
        <w:pStyle w:val="main"/>
        <w:rPr/>
      </w:pPr>
      <w:r>
        <w:rPr/>
        <w:t>SUSPENDING AVOIDED COST POSTING SCHEDULE</w:t>
      </w:r>
    </w:p>
    <w:p>
      <w:pPr>
        <w:pStyle w:val="Normal"/>
        <w:suppressAutoHyphens w:val="true"/>
        <w:rPr/>
      </w:pPr>
      <w:r>
        <w:rPr/>
      </w:r>
    </w:p>
    <w:p>
      <w:pPr>
        <w:pStyle w:val="standard"/>
        <w:rPr/>
      </w:pPr>
      <w:r>
        <w:rPr/>
        <w:t xml:space="preserve">This ruling </w:t>
      </w:r>
      <w:r>
        <w:rPr>
          <w:u w:val="single"/>
        </w:rPr>
        <w:t>does not</w:t>
      </w:r>
      <w:r>
        <w:rPr/>
        <w:t xml:space="preserve"> consolidate these two proceedings.  We issue this joint ruling on our own motion to temporarily suspend the posting schedule established by Decision (D.) 97-05-021 issued in Investigation (I.) 89-07-004.  Avoided cost postings are filed in I.89-07-004 and parties to that docket should be alerted to the issues raised in Rulemaking (R.) 99-11-022 regarding proposed modifications to avoided cost postings.</w:t>
      </w:r>
    </w:p>
    <w:p>
      <w:pPr>
        <w:pStyle w:val="standard"/>
        <w:rPr/>
      </w:pPr>
      <w:r>
        <w:rPr/>
        <w:t>This ruling temporarily suspends the avoided cost posting requirements adopted in D.97-05-021 for Southern California Edison Company (SCE), San Diego Gas &amp; Electric Company (SDG&amp;E), and Pacific Gas and Electric Company (PG&amp;E) until March 16, 2001 while the merits of the proposed modifications are considered.</w:t>
      </w:r>
    </w:p>
    <w:p>
      <w:pPr>
        <w:pStyle w:val="Heading1"/>
        <w:ind w:hanging="0" w:start="0"/>
        <w:rPr/>
      </w:pPr>
      <w:r>
        <w:rPr/>
        <w:t>Procedural Background</w:t>
      </w:r>
    </w:p>
    <w:p>
      <w:pPr>
        <w:pStyle w:val="standard"/>
        <w:rPr/>
      </w:pPr>
      <w:r>
        <w:rPr/>
        <w:t xml:space="preserve">The avoided cost posting is based on the Transition Formula adopted in D.96-12-028 that incorporates various border price indices.  D.96-12-028 governs avoided cost postings made by SCE, SDG&amp;E, and PG&amp;E.  D.97-05-021 establishes the timing when each utility files its avoided cost posting.  Each utility is scheduled to file its March avoided cost posting before March 8, 2001. </w:t>
      </w:r>
    </w:p>
    <w:p>
      <w:pPr>
        <w:pStyle w:val="standard"/>
        <w:rPr/>
      </w:pPr>
      <w:r>
        <w:rPr/>
        <w:t>On July 28, 2000, SCE filed a petition to modify D.96-12-028 to revise its Transition Formula.  The Commission is scheduled to rule on the merits of the petition to modify D.96-12-028 on March 15, 2001.  In addition, the Commission, at its March 15, 2001 meeting will consider possible revisions to qualifying facility pricing as a result of legislative activity and settlement discussions.  A Ruling which was issued on March 1, 2001, suspended the avoided cost posting requirements for March 2001 that were established in D.97-05-021 for SCE, SDG&amp;E, and PG&amp;E until March 8, 2001.  By this Ruling we further suspend the avoided cost posting requirement for March 2001 for SCE, SDG&amp;E, and PG&amp;E until March 16, 2001.  This is a procedural change that will give the Commission the opportunity to consider whether to grant SCE’s petition in full or in part or take other actions.  On March 16, the utilities should post their avoided costs based on either the current formula (if the Commission has not acted) or based on the formula or other changes adopted by the Commission (if any) on that date.  We note that QF payments based on March avoided costs would not be made until after March 31, 2001, at a minimum, therefore, there is no prejudice to this suspension.</w:t>
      </w:r>
    </w:p>
    <w:p>
      <w:pPr>
        <w:pStyle w:val="standard"/>
        <w:keepNext w:val="true"/>
        <w:rPr/>
      </w:pPr>
      <w:r>
        <w:rPr>
          <w:b/>
        </w:rPr>
        <w:t>IT IS RULED</w:t>
      </w:r>
      <w:r>
        <w:rPr/>
        <w:t xml:space="preserve"> that:</w:t>
      </w:r>
    </w:p>
    <w:p>
      <w:pPr>
        <w:pStyle w:val="num1"/>
        <w:numPr>
          <w:ilvl w:val="0"/>
          <w:numId w:val="2"/>
        </w:numPr>
        <w:rPr/>
      </w:pPr>
      <w:r>
        <w:rPr/>
        <w:t xml:space="preserve">I.89-07-004 and R.99-11-022 are </w:t>
      </w:r>
      <w:r>
        <w:rPr>
          <w:u w:val="single"/>
        </w:rPr>
        <w:t>NOT</w:t>
      </w:r>
      <w:r>
        <w:rPr/>
        <w:t xml:space="preserve"> consolidated for any purpose.</w:t>
      </w:r>
    </w:p>
    <w:p>
      <w:pPr>
        <w:pStyle w:val="num1"/>
        <w:numPr>
          <w:ilvl w:val="0"/>
          <w:numId w:val="2"/>
        </w:numPr>
        <w:rPr/>
      </w:pPr>
      <w:r>
        <w:rPr/>
        <w:t>The avoided cost posting requirements established in D.97-05-021 are suspended for SCE, SDG&amp;E, and PG&amp;E until March 16, 2001.</w:t>
      </w:r>
    </w:p>
    <w:p>
      <w:pPr>
        <w:pStyle w:val="standard"/>
        <w:rPr/>
      </w:pPr>
      <w:r>
        <w:rPr/>
        <w:t>Dated March 8, 2001, at San Francisco, California.</w:t>
      </w:r>
    </w:p>
    <w:p>
      <w:pPr>
        <w:pStyle w:val="Normal"/>
        <w:rPr/>
      </w:pPr>
      <w:r>
        <w:rPr/>
      </w:r>
    </w:p>
    <w:p>
      <w:pPr>
        <w:pStyle w:val="Normal"/>
        <w:rPr/>
      </w:pPr>
      <w:r>
        <w:rPr/>
      </w:r>
    </w:p>
    <w:p>
      <w:pPr>
        <w:pStyle w:val="Normal"/>
        <w:rPr/>
      </w:pPr>
      <w:r>
        <w:rPr/>
      </w:r>
    </w:p>
    <w:tbl>
      <w:tblPr>
        <w:tblW w:w="8010" w:type="dxa"/>
        <w:jc w:val="start"/>
        <w:tblInd w:w="828" w:type="dxa"/>
        <w:tblLayout w:type="fixed"/>
        <w:tblCellMar>
          <w:top w:w="0" w:type="dxa"/>
          <w:start w:w="108" w:type="dxa"/>
          <w:bottom w:w="0" w:type="dxa"/>
          <w:end w:w="108" w:type="dxa"/>
        </w:tblCellMar>
      </w:tblPr>
      <w:tblGrid>
        <w:gridCol w:w="3060"/>
        <w:gridCol w:w="990"/>
        <w:gridCol w:w="3960"/>
      </w:tblGrid>
      <w:tr>
        <w:trPr/>
        <w:tc>
          <w:tcPr>
            <w:tcW w:w="3060" w:type="dxa"/>
            <w:tcBorders>
              <w:bottom w:val="single" w:sz="4" w:space="0" w:color="000000"/>
            </w:tcBorders>
          </w:tcPr>
          <w:p>
            <w:pPr>
              <w:pStyle w:val="Normal"/>
              <w:snapToGrid w:val="false"/>
              <w:rPr>
                <w:u w:val="single"/>
              </w:rPr>
            </w:pPr>
            <w:r>
              <w:rPr>
                <w:u w:val="single"/>
              </w:rPr>
            </w:r>
          </w:p>
        </w:tc>
        <w:tc>
          <w:tcPr>
            <w:tcW w:w="990" w:type="dxa"/>
            <w:tcBorders/>
          </w:tcPr>
          <w:p>
            <w:pPr>
              <w:pStyle w:val="Normal"/>
              <w:snapToGrid w:val="false"/>
              <w:rPr>
                <w:u w:val="single"/>
              </w:rPr>
            </w:pPr>
            <w:r>
              <w:rPr>
                <w:u w:val="single"/>
              </w:rPr>
            </w:r>
          </w:p>
        </w:tc>
        <w:tc>
          <w:tcPr>
            <w:tcW w:w="3960" w:type="dxa"/>
            <w:tcBorders>
              <w:bottom w:val="single" w:sz="6" w:space="0" w:color="000000"/>
            </w:tcBorders>
          </w:tcPr>
          <w:p>
            <w:pPr>
              <w:pStyle w:val="Normal"/>
              <w:snapToGrid w:val="false"/>
              <w:rPr/>
            </w:pPr>
            <w:r>
              <w:rPr/>
            </w:r>
          </w:p>
        </w:tc>
      </w:tr>
      <w:tr>
        <w:trPr/>
        <w:tc>
          <w:tcPr>
            <w:tcW w:w="3060" w:type="dxa"/>
            <w:tcBorders/>
          </w:tcPr>
          <w:p>
            <w:pPr>
              <w:pStyle w:val="Normal"/>
              <w:jc w:val="center"/>
              <w:rPr/>
            </w:pPr>
            <w:r>
              <w:rPr/>
              <w:t>Carl Wood</w:t>
            </w:r>
          </w:p>
          <w:p>
            <w:pPr>
              <w:pStyle w:val="Normal"/>
              <w:jc w:val="center"/>
              <w:rPr/>
            </w:pPr>
            <w:r>
              <w:rPr/>
              <w:t>Assigned Commissioner</w:t>
            </w:r>
          </w:p>
        </w:tc>
        <w:tc>
          <w:tcPr>
            <w:tcW w:w="990" w:type="dxa"/>
            <w:tcBorders/>
          </w:tcPr>
          <w:p>
            <w:pPr>
              <w:pStyle w:val="Normal"/>
              <w:snapToGrid w:val="false"/>
              <w:rPr/>
            </w:pPr>
            <w:r>
              <w:rPr/>
            </w:r>
          </w:p>
        </w:tc>
        <w:tc>
          <w:tcPr>
            <w:tcW w:w="3960" w:type="dxa"/>
            <w:tcBorders/>
          </w:tcPr>
          <w:p>
            <w:pPr>
              <w:pStyle w:val="Normal"/>
              <w:jc w:val="center"/>
              <w:rPr/>
            </w:pPr>
            <w:r>
              <w:rPr/>
              <w:t>Michelle Cooke</w:t>
            </w:r>
          </w:p>
          <w:p>
            <w:pPr>
              <w:pStyle w:val="Normal"/>
              <w:jc w:val="center"/>
              <w:rPr/>
            </w:pPr>
            <w:r>
              <w:rPr/>
              <w:t>Administrative Law Judge</w:t>
            </w:r>
          </w:p>
        </w:tc>
      </w:tr>
      <w:tr>
        <w:trPr/>
        <w:tc>
          <w:tcPr>
            <w:tcW w:w="3060" w:type="dxa"/>
            <w:tcBorders>
              <w:bottom w:val="single" w:sz="4" w:space="0" w:color="000000"/>
            </w:tcBorders>
          </w:tcPr>
          <w:p>
            <w:pPr>
              <w:pStyle w:val="Normal"/>
              <w:snapToGrid w:val="false"/>
              <w:rPr/>
            </w:pPr>
            <w:r>
              <w:rPr/>
            </w:r>
          </w:p>
          <w:p>
            <w:pPr>
              <w:pStyle w:val="Normal"/>
              <w:rPr/>
            </w:pPr>
            <w:r>
              <w:rPr/>
            </w:r>
          </w:p>
          <w:p>
            <w:pPr>
              <w:pStyle w:val="Normal"/>
              <w:rPr/>
            </w:pPr>
            <w:r>
              <w:rPr/>
            </w:r>
          </w:p>
        </w:tc>
        <w:tc>
          <w:tcPr>
            <w:tcW w:w="990" w:type="dxa"/>
            <w:tcBorders/>
          </w:tcPr>
          <w:p>
            <w:pPr>
              <w:pStyle w:val="Normal"/>
              <w:snapToGrid w:val="false"/>
              <w:rPr/>
            </w:pPr>
            <w:r>
              <w:rPr/>
            </w:r>
          </w:p>
        </w:tc>
        <w:tc>
          <w:tcPr>
            <w:tcW w:w="3960" w:type="dxa"/>
            <w:tcBorders>
              <w:bottom w:val="single" w:sz="6" w:space="0" w:color="000000"/>
            </w:tcBorders>
          </w:tcPr>
          <w:p>
            <w:pPr>
              <w:pStyle w:val="Normal"/>
              <w:snapToGrid w:val="false"/>
              <w:rPr/>
            </w:pPr>
            <w:r>
              <w:rPr/>
            </w:r>
          </w:p>
        </w:tc>
      </w:tr>
      <w:tr>
        <w:trPr/>
        <w:tc>
          <w:tcPr>
            <w:tcW w:w="3060" w:type="dxa"/>
            <w:tcBorders/>
          </w:tcPr>
          <w:p>
            <w:pPr>
              <w:pStyle w:val="Normal"/>
              <w:jc w:val="center"/>
              <w:rPr/>
            </w:pPr>
            <w:r>
              <w:rPr/>
              <w:t>Henry M. Duque</w:t>
            </w:r>
          </w:p>
          <w:p>
            <w:pPr>
              <w:pStyle w:val="Normal"/>
              <w:jc w:val="center"/>
              <w:rPr/>
            </w:pPr>
            <w:r>
              <w:rPr/>
              <w:t>Assigned Commissioner</w:t>
            </w:r>
          </w:p>
        </w:tc>
        <w:tc>
          <w:tcPr>
            <w:tcW w:w="990" w:type="dxa"/>
            <w:tcBorders/>
          </w:tcPr>
          <w:p>
            <w:pPr>
              <w:pStyle w:val="Normal"/>
              <w:snapToGrid w:val="false"/>
              <w:rPr/>
            </w:pPr>
            <w:r>
              <w:rPr/>
            </w:r>
          </w:p>
        </w:tc>
        <w:tc>
          <w:tcPr>
            <w:tcW w:w="3960" w:type="dxa"/>
            <w:tcBorders/>
          </w:tcPr>
          <w:p>
            <w:pPr>
              <w:pStyle w:val="Normal"/>
              <w:jc w:val="center"/>
              <w:rPr/>
            </w:pPr>
            <w:r>
              <w:rPr/>
              <w:t>Janet A. Econome</w:t>
            </w:r>
          </w:p>
          <w:p>
            <w:pPr>
              <w:pStyle w:val="Normal"/>
              <w:jc w:val="center"/>
              <w:rPr/>
            </w:pPr>
            <w:r>
              <w:rPr/>
              <w:t>Administrative Law Judge</w:t>
            </w:r>
          </w:p>
        </w:tc>
      </w:tr>
    </w:tbl>
    <w:p>
      <w:pPr>
        <w:sectPr>
          <w:headerReference w:type="default" r:id="rId2"/>
          <w:headerReference w:type="first" r:id="rId3"/>
          <w:footerReference w:type="default" r:id="rId4"/>
          <w:footerReference w:type="first" r:id="rId5"/>
          <w:type w:val="nextPage"/>
          <w:pgSz w:w="12240" w:h="15840"/>
          <w:pgMar w:left="1440" w:right="1440" w:gutter="0" w:header="720" w:top="1152" w:footer="720" w:bottom="1440"/>
          <w:pgNumType w:fmt="decimal"/>
          <w:formProt w:val="false"/>
          <w:titlePg/>
          <w:textDirection w:val="lrTb"/>
          <w:docGrid w:type="default" w:linePitch="360" w:charSpace="0"/>
        </w:sectPr>
      </w:pPr>
    </w:p>
    <w:p>
      <w:pPr>
        <w:pStyle w:val="main"/>
        <w:rPr/>
      </w:pPr>
      <w:r>
        <w:rPr/>
        <w:t>CERTIFICATE OF SERVICE</w:t>
      </w:r>
    </w:p>
    <w:p>
      <w:pPr>
        <w:pStyle w:val="Normal"/>
        <w:rPr/>
      </w:pPr>
      <w:r>
        <w:rPr/>
      </w:r>
    </w:p>
    <w:p>
      <w:pPr>
        <w:pStyle w:val="standard"/>
        <w:rPr/>
      </w:pPr>
      <w:r>
        <w:rPr/>
        <w:t>I certify that I have by mail and by electronic mail, to the parties to which an electronic mail address has been provided, this day served a true copy of the original attached Joint Assigned Commissioners and Administrative Law Judges’ Ruling Suspending Avoided Cost Posting Schedule on all parties of record in this proceeding or their attorneys of record.</w:t>
      </w:r>
    </w:p>
    <w:p>
      <w:pPr>
        <w:pStyle w:val="standard"/>
        <w:rPr/>
      </w:pPr>
      <w:r>
        <w:rPr/>
        <w:t>Dated March 8, 2001, at San Francisco, California.</w:t>
      </w:r>
    </w:p>
    <w:p>
      <w:pPr>
        <w:pStyle w:val="Normal"/>
        <w:rPr/>
      </w:pPr>
      <w:r>
        <w:rPr/>
      </w:r>
    </w:p>
    <w:p>
      <w:pPr>
        <w:pStyle w:val="Normal"/>
        <w:rPr/>
      </w:pPr>
      <w:r>
        <w:rPr/>
      </w:r>
    </w:p>
    <w:p>
      <w:pPr>
        <w:pStyle w:val="Normal"/>
        <w:rPr/>
      </w:pPr>
      <w:r>
        <w:rPr/>
      </w:r>
    </w:p>
    <w:tbl>
      <w:tblPr>
        <w:tblW w:w="3420" w:type="dxa"/>
        <w:jc w:val="start"/>
        <w:tblInd w:w="4878" w:type="dxa"/>
        <w:tblLayout w:type="fixed"/>
        <w:tblCellMar>
          <w:top w:w="0" w:type="dxa"/>
          <w:start w:w="108" w:type="dxa"/>
          <w:bottom w:w="0" w:type="dxa"/>
          <w:end w:w="108" w:type="dxa"/>
        </w:tblCellMar>
      </w:tblPr>
      <w:tblGrid>
        <w:gridCol w:w="3420"/>
      </w:tblGrid>
      <w:tr>
        <w:trPr/>
        <w:tc>
          <w:tcPr>
            <w:tcW w:w="3420" w:type="dxa"/>
            <w:tcBorders>
              <w:bottom w:val="single" w:sz="6" w:space="0" w:color="000000"/>
            </w:tcBorders>
          </w:tcPr>
          <w:p>
            <w:pPr>
              <w:pStyle w:val="Normal"/>
              <w:snapToGrid w:val="false"/>
              <w:rPr/>
            </w:pPr>
            <w:r>
              <w:rPr/>
            </w:r>
          </w:p>
        </w:tc>
      </w:tr>
      <w:tr>
        <w:trPr/>
        <w:tc>
          <w:tcPr>
            <w:tcW w:w="3420" w:type="dxa"/>
            <w:tcBorders/>
          </w:tcPr>
          <w:p>
            <w:pPr>
              <w:pStyle w:val="Normal"/>
              <w:jc w:val="center"/>
              <w:rPr/>
            </w:pPr>
            <w:r>
              <w:rPr/>
              <w:t>Dolores Montellano</w:t>
            </w:r>
          </w:p>
        </w:tc>
      </w:tr>
    </w:tbl>
    <w:p>
      <w:pPr>
        <w:pStyle w:val="Normal"/>
        <w:rPr/>
      </w:pPr>
      <w:r>
        <w:rPr/>
      </w:r>
    </w:p>
    <w:p>
      <w:pPr>
        <w:pStyle w:val="Normal"/>
        <w:spacing w:lineRule="auto" w:line="360"/>
        <w:rPr/>
      </w:pPr>
      <w:r>
        <w:rPr/>
      </w:r>
    </w:p>
    <w:p>
      <w:pPr>
        <w:pStyle w:val="mainex"/>
        <w:spacing w:before="0" w:after="120"/>
        <w:rPr/>
      </w:pPr>
      <w:r>
        <w:rPr/>
        <w:t>NOTICE</w:t>
      </w:r>
    </w:p>
    <w:p>
      <w:pPr>
        <w:pStyle w:val="BlockText"/>
        <w:rPr/>
      </w:pPr>
      <w:r>
        <w:rPr/>
        <w:t>Parties should notify the Process Office, Public Utilities Commission, 505 Van Ness Avenue, Room 2000, San Francisco, CA  94102, of any change of address to insure that they continue to receive documents. You must indicate the proceeding number on the service list on which your name appears.</w:t>
      </w:r>
    </w:p>
    <w:p>
      <w:pPr>
        <w:pStyle w:val="Normal"/>
        <w:ind w:start="1440" w:end="0"/>
        <w:rPr>
          <w:sz w:val="24"/>
        </w:rPr>
      </w:pPr>
      <w:r>
        <w:rPr>
          <w:sz w:val="24"/>
        </w:rPr>
      </w:r>
    </w:p>
    <w:p>
      <w:pPr>
        <w:pStyle w:val="Normal"/>
        <w:tabs>
          <w:tab w:val="clear" w:pos="720"/>
          <w:tab w:val="left" w:pos="0" w:leader="none"/>
        </w:tabs>
        <w:ind w:start="1440" w:end="1440"/>
        <w:rPr>
          <w:sz w:val="24"/>
        </w:rPr>
      </w:pPr>
      <w:r>
        <w:rPr>
          <w:sz w:val="24"/>
        </w:rPr>
        <w:t>* * * * * * * * * * * * * * * * * * * * * * * * * * * * * * * * * * * * * * *</w:t>
      </w:r>
    </w:p>
    <w:p>
      <w:pPr>
        <w:pStyle w:val="Normal"/>
        <w:tabs>
          <w:tab w:val="clear" w:pos="720"/>
          <w:tab w:val="left" w:pos="0" w:leader="none"/>
        </w:tabs>
        <w:ind w:start="1440" w:end="1440"/>
        <w:rPr>
          <w:sz w:val="24"/>
        </w:rPr>
      </w:pPr>
      <w:r>
        <w:rPr>
          <w:sz w:val="24"/>
        </w:rPr>
      </w:r>
    </w:p>
    <w:p>
      <w:pPr>
        <w:pStyle w:val="BlockText"/>
        <w:rPr/>
      </w:pPr>
      <w:r>
        <w:rPr/>
        <w:t>The Commission’s policy is to schedule hearings (meetings, workshops, etc.) in locations that are accessible to people with disabilities. To verify that a particular location is accessible, call: Calendar Clerk (415) 703-1203.</w:t>
      </w:r>
    </w:p>
    <w:p>
      <w:pPr>
        <w:pStyle w:val="Normal"/>
        <w:tabs>
          <w:tab w:val="clear" w:pos="720"/>
          <w:tab w:val="left" w:pos="0" w:leader="none"/>
        </w:tabs>
        <w:ind w:start="1440" w:end="1440"/>
        <w:rPr>
          <w:sz w:val="24"/>
        </w:rPr>
      </w:pPr>
      <w:r>
        <w:rPr>
          <w:sz w:val="24"/>
        </w:rPr>
      </w:r>
    </w:p>
    <w:p>
      <w:pPr>
        <w:pStyle w:val="Normal"/>
        <w:tabs>
          <w:tab w:val="clear" w:pos="720"/>
          <w:tab w:val="left" w:pos="0" w:leader="none"/>
        </w:tabs>
        <w:ind w:start="1440" w:end="1440"/>
        <w:rPr>
          <w:sz w:val="24"/>
        </w:rPr>
      </w:pPr>
      <w:r>
        <w:rPr>
          <w:sz w:val="24"/>
        </w:rPr>
        <w:t>If specialized accommodations for the disabled are needed, e.g., sign language interpreters, those making the arrangements must call the Public Advisor at (415) 703</w:t>
        <w:noBreakHyphen/>
        <w:t>2074,</w:t>
      </w:r>
    </w:p>
    <w:p>
      <w:pPr>
        <w:pStyle w:val="Normal"/>
        <w:tabs>
          <w:tab w:val="clear" w:pos="720"/>
          <w:tab w:val="left" w:pos="0" w:leader="none"/>
        </w:tabs>
        <w:ind w:start="1440" w:end="1440"/>
        <w:rPr>
          <w:sz w:val="24"/>
        </w:rPr>
      </w:pPr>
      <w:r>
        <w:rPr>
          <w:sz w:val="24"/>
        </w:rPr>
        <w:t>TTY  1-866-836-7825 or (415) 703-5282 at least  three working days in advance of the event.</w:t>
      </w:r>
    </w:p>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enter" w:pos="4590" w:leader="none"/>
        <w:tab w:val="right" w:pos="8640" w:leader="none"/>
      </w:tabs>
      <w:jc w:val="start"/>
      <w:rPr/>
    </w:pPr>
    <w:r>
      <w:rPr>
        <w:sz w:val="16"/>
      </w:rPr>
      <w:t>91529</w:t>
    </w:r>
    <w:r>
      <w:rP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r>
      <w:rPr>
        <w:rStyle w:val="PageNumbe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I.89-07-004 et. al.  CXW, HMD/MLC, JJJ/dmm</w:t>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I.89-07-004 et. al.  CXW, HMD/MLC, JJJ/dmm</w:t>
    </w:r>
  </w:p>
  <w:p>
    <w:pPr>
      <w:pStyle w:val="Header"/>
      <w:rPr/>
    </w:pPr>
    <w:r>
      <w:rPr/>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I.89-07-004 et. al.  CXW, HMD/MLC, JJJ/dmm</w:t>
    </w:r>
  </w:p>
  <w:p>
    <w:pPr>
      <w:pStyle w:val="Head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0"/>
        </w:tabs>
        <w:ind w:start="0" w:hanging="0"/>
      </w:pPr>
    </w:lvl>
  </w:abstractNum>
  <w:abstractNum w:abstractNumId="3">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eastAsia="zh-CN" w:bidi="hi-IN"/>
    </w:rPr>
  </w:style>
  <w:style w:type="paragraph" w:styleId="Heading1">
    <w:name w:val="heading 1"/>
    <w:basedOn w:val="Normal"/>
    <w:next w:val="standard"/>
    <w:qFormat/>
    <w:pPr>
      <w:keepNext w:val="true"/>
      <w:numPr>
        <w:ilvl w:val="0"/>
        <w:numId w:val="1"/>
      </w:numPr>
      <w:spacing w:lineRule="auto" w:line="360" w:before="120" w:after="120"/>
      <w:outlineLvl w:val="0"/>
    </w:pPr>
    <w:rPr>
      <w:rFonts w:ascii="Helvetica;Arial" w:hAnsi="Helvetica;Arial" w:cs="Helvetica;Arial"/>
      <w:b/>
      <w:kern w:val="2"/>
    </w:rPr>
  </w:style>
  <w:style w:type="paragraph" w:styleId="Heading2">
    <w:name w:val="heading 2"/>
    <w:basedOn w:val="Normal"/>
    <w:next w:val="sub1"/>
    <w:qFormat/>
    <w:pPr>
      <w:keepNext w:val="true"/>
      <w:numPr>
        <w:ilvl w:val="1"/>
        <w:numId w:val="1"/>
      </w:numPr>
      <w:spacing w:before="120" w:after="120"/>
      <w:ind w:firstLine="1440" w:start="0" w:end="0"/>
      <w:outlineLvl w:val="1"/>
    </w:pPr>
    <w:rPr>
      <w:rFonts w:ascii="Helvetica;Arial" w:hAnsi="Helvetica;Arial" w:cs="Helvetica;Arial"/>
      <w:b/>
      <w:i/>
    </w:rPr>
  </w:style>
  <w:style w:type="paragraph" w:styleId="Heading3">
    <w:name w:val="heading 3"/>
    <w:basedOn w:val="Normal"/>
    <w:next w:val="sub2"/>
    <w:qFormat/>
    <w:pPr>
      <w:keepNext w:val="true"/>
      <w:numPr>
        <w:ilvl w:val="2"/>
        <w:numId w:val="1"/>
      </w:numPr>
      <w:spacing w:before="120" w:after="120"/>
      <w:ind w:firstLine="2160" w:start="0" w:end="0"/>
      <w:outlineLvl w:val="2"/>
    </w:pPr>
    <w:rPr>
      <w:rFonts w:ascii="Helvetica;Arial" w:hAnsi="Helvetica;Arial" w:cs="Helvetica;Arial"/>
      <w:b/>
    </w:rPr>
  </w:style>
  <w:style w:type="paragraph" w:styleId="Heading4">
    <w:name w:val="heading 4"/>
    <w:basedOn w:val="Normal"/>
    <w:next w:val="sub3"/>
    <w:qFormat/>
    <w:pPr>
      <w:keepNext w:val="true"/>
      <w:numPr>
        <w:ilvl w:val="3"/>
        <w:numId w:val="1"/>
      </w:numPr>
      <w:spacing w:before="120" w:after="60"/>
      <w:ind w:firstLine="2880" w:start="0" w:end="0"/>
      <w:outlineLvl w:val="3"/>
    </w:pPr>
    <w:rPr>
      <w:rFonts w:ascii="Helvetica;Arial" w:hAnsi="Helvetica;Arial" w:cs="Helvetica;Arial"/>
      <w:b/>
      <w:i/>
    </w:rPr>
  </w:style>
  <w:style w:type="paragraph" w:styleId="Heading5">
    <w:name w:val="heading 5"/>
    <w:basedOn w:val="Normal"/>
    <w:next w:val="sub4"/>
    <w:qFormat/>
    <w:pPr>
      <w:numPr>
        <w:ilvl w:val="4"/>
        <w:numId w:val="1"/>
      </w:numPr>
      <w:spacing w:before="120" w:after="120"/>
      <w:ind w:firstLine="3600" w:start="0" w:end="0"/>
      <w:outlineLvl w:val="4"/>
    </w:pPr>
    <w:rPr>
      <w:rFonts w:ascii="Helvetica;Arial" w:hAnsi="Helvetica;Arial" w:cs="Helvetica;Arial"/>
      <w:b/>
    </w:rPr>
  </w:style>
  <w:style w:type="character" w:styleId="DefaultParagraphFont">
    <w:name w:val="Default Paragraph Font"/>
    <w:qFormat/>
    <w:rPr/>
  </w:style>
  <w:style w:type="character" w:styleId="FootnoteCharacters">
    <w:name w:val="Footnote Characters"/>
    <w:basedOn w:val="DefaultParagraphFont"/>
    <w:qFormat/>
    <w:rPr>
      <w:sz w:val="24"/>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0" w:after="240"/>
    </w:pPr>
    <w:rPr>
      <w:sz w:val="24"/>
    </w:rPr>
  </w:style>
  <w:style w:type="paragraph" w:styleId="standard">
    <w:name w:val="standard"/>
    <w:basedOn w:val="Normal"/>
    <w:qFormat/>
    <w:pPr>
      <w:spacing w:lineRule="auto" w:line="360"/>
      <w:ind w:firstLine="720" w:start="0" w:end="0"/>
    </w:pPr>
    <w:rPr>
      <w:sz w:val="26"/>
    </w:rPr>
  </w:style>
  <w:style w:type="paragraph" w:styleId="Subtitle">
    <w:name w:val="Subtitle"/>
    <w:basedOn w:val="Normal"/>
    <w:next w:val="BodyText"/>
    <w:qFormat/>
    <w:pPr>
      <w:spacing w:before="0" w:after="60"/>
      <w:jc w:val="center"/>
    </w:pPr>
    <w:rPr>
      <w:rFonts w:ascii="Arial" w:hAnsi="Arial" w:cs="Arial"/>
    </w:rPr>
  </w:style>
  <w:style w:type="paragraph" w:styleId="quote">
    <w:name w:val="quote"/>
    <w:basedOn w:val="standard"/>
    <w:next w:val="standard"/>
    <w:qFormat/>
    <w:pPr>
      <w:spacing w:lineRule="auto" w:line="240" w:before="120" w:after="240"/>
      <w:ind w:hanging="0" w:start="720" w:end="720"/>
    </w:pPr>
    <w:rPr/>
  </w:style>
  <w:style w:type="paragraph" w:styleId="num1">
    <w:name w:val="num1"/>
    <w:basedOn w:val="Normal"/>
    <w:qFormat/>
    <w:pPr>
      <w:numPr>
        <w:ilvl w:val="0"/>
        <w:numId w:val="3"/>
      </w:numPr>
      <w:tabs>
        <w:tab w:val="clear" w:pos="720"/>
        <w:tab w:val="left" w:pos="-720" w:leader="none"/>
      </w:tabs>
      <w:suppressAutoHyphens w:val="true"/>
      <w:spacing w:lineRule="auto" w:line="360"/>
      <w:ind w:firstLine="360" w:start="0" w:end="0"/>
    </w:pPr>
    <w:rPr/>
  </w:style>
  <w:style w:type="paragraph" w:styleId="letter">
    <w:name w:val="letter"/>
    <w:basedOn w:val="num1"/>
    <w:qFormat/>
    <w:pPr>
      <w:numPr>
        <w:ilvl w:val="0"/>
        <w:numId w:val="4"/>
      </w:numPr>
      <w:spacing w:lineRule="auto" w:line="240" w:before="0" w:after="120"/>
      <w:ind w:hanging="274" w:start="994" w:end="0"/>
    </w:pPr>
    <w:rPr/>
  </w:style>
  <w:style w:type="paragraph" w:styleId="TOC4">
    <w:name w:val="toc 4"/>
    <w:basedOn w:val="Normal"/>
    <w:next w:val="Normal"/>
    <w:pPr>
      <w:tabs>
        <w:tab w:val="clear" w:pos="720"/>
        <w:tab w:val="right" w:pos="9360" w:leader="dot"/>
      </w:tabs>
      <w:ind w:hanging="0" w:start="720" w:end="0"/>
    </w:pPr>
    <w:rPr/>
  </w:style>
  <w:style w:type="paragraph" w:styleId="main">
    <w:name w:val="main"/>
    <w:basedOn w:val="Normal"/>
    <w:qFormat/>
    <w:pPr>
      <w:jc w:val="center"/>
    </w:pPr>
    <w:rPr>
      <w:rFonts w:ascii="Helvetica;Arial" w:hAnsi="Helvetica;Arial" w:cs="Helvetica;Arial"/>
      <w:b/>
      <w:sz w:val="26"/>
    </w:rPr>
  </w:style>
  <w:style w:type="paragraph" w:styleId="mainex">
    <w:name w:val="mainex"/>
    <w:basedOn w:val="main"/>
    <w:qFormat/>
    <w:pPr/>
    <w:rPr>
      <w:spacing w:val="1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6"/>
    </w:rPr>
  </w:style>
  <w:style w:type="paragraph" w:styleId="num2">
    <w:name w:val="num2"/>
    <w:basedOn w:val="num1"/>
    <w:qFormat/>
    <w:pPr>
      <w:ind w:firstLine="270" w:start="0" w:end="0"/>
    </w:pPr>
    <w:rPr/>
  </w:style>
  <w:style w:type="paragraph" w:styleId="Footer">
    <w:name w:val="footer"/>
    <w:basedOn w:val="Normal"/>
    <w:pPr>
      <w:tabs>
        <w:tab w:val="clear" w:pos="720"/>
        <w:tab w:val="center" w:pos="4320" w:leader="none"/>
        <w:tab w:val="right" w:pos="8640" w:leader="none"/>
      </w:tabs>
      <w:jc w:val="center"/>
    </w:pPr>
    <w:rPr>
      <w:sz w:val="26"/>
    </w:rPr>
  </w:style>
  <w:style w:type="paragraph" w:styleId="BlockText">
    <w:name w:val="Block Text"/>
    <w:basedOn w:val="Normal"/>
    <w:qFormat/>
    <w:pPr>
      <w:tabs>
        <w:tab w:val="clear" w:pos="720"/>
        <w:tab w:val="left" w:pos="0" w:leader="none"/>
      </w:tabs>
      <w:ind w:hanging="0" w:start="1440" w:end="1440"/>
    </w:pPr>
    <w:rPr>
      <w:sz w:val="24"/>
    </w:rPr>
  </w:style>
  <w:style w:type="paragraph" w:styleId="sub1">
    <w:name w:val="sub1"/>
    <w:basedOn w:val="Normal"/>
    <w:qFormat/>
    <w:pPr>
      <w:spacing w:lineRule="auto" w:line="360"/>
      <w:ind w:firstLine="1440" w:start="0" w:end="0"/>
    </w:pPr>
    <w:rPr/>
  </w:style>
  <w:style w:type="paragraph" w:styleId="sub2">
    <w:name w:val="sub2"/>
    <w:basedOn w:val="Normal"/>
    <w:qFormat/>
    <w:pPr>
      <w:spacing w:lineRule="auto" w:line="360"/>
      <w:ind w:firstLine="2160" w:start="0" w:end="0"/>
    </w:pPr>
    <w:rPr/>
  </w:style>
  <w:style w:type="paragraph" w:styleId="sub3">
    <w:name w:val="sub3"/>
    <w:basedOn w:val="Normal"/>
    <w:qFormat/>
    <w:pPr>
      <w:spacing w:lineRule="auto" w:line="360"/>
      <w:ind w:firstLine="2880" w:start="0" w:end="0"/>
    </w:pPr>
    <w:rPr/>
  </w:style>
  <w:style w:type="paragraph" w:styleId="sub4">
    <w:name w:val="sub4"/>
    <w:basedOn w:val="Normal"/>
    <w:qFormat/>
    <w:pPr>
      <w:spacing w:lineRule="auto" w:line="360"/>
      <w:ind w:firstLine="360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2001-03-08T21:36:00Z</dcterms:created>
  <dc:creator>Antonina Swansen</dc:creator>
  <dc:description/>
  <dc:language>en-CA</dc:language>
  <cp:lastModifiedBy>Dolores Montellano</cp:lastModifiedBy>
  <cp:lastPrinted>2001-03-08T15:13:00Z</cp:lastPrinted>
  <dcterms:modified xsi:type="dcterms:W3CDTF">2001-03-08T21:36:00Z</dcterms:modified>
  <cp:revision>2</cp:revision>
  <dc:subject/>
  <dc:title>BEFORE THE PUBLIC UTILITIES COMMISSION OF THE STATE OF CALIFORNIA</dc:title>
</cp:coreProperties>
</file>