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UNIVERSITY OF CALIFORNIA, CALIFORNIA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STATE UNIVERSITY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SERVICES, INC., </w:t>
            </w:r>
          </w:p>
        </w:tc>
        <w:tc>
          <w:tcPr>
            <w:tcW w:w="239"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bottom w:val="single" w:sz="6" w:space="0" w:color="000000"/>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LIN MEYER- California State Bar No. 188677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 xml:space="preserve">Attorneys for Petitioners University of California, California State University, </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and Enron Energy Services, Inc.</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UNIVERSITY OF CALIFORNIA,CALIFORNIA</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STATE UNIVERSITY,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SERVICES, INC.,</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bottom w:val="single" w:sz="6" w:space="0" w:color="000000"/>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 INTRODUCTION</w:t>
            <w:tab/>
          </w:r>
          <w:r>
            <w:fldChar w:fldCharType="begin"/>
          </w:r>
          <w:r>
            <w:rPr/>
            <w:instrText xml:space="preserve"> GOTOBUTTON _Toc524517894  </w:instrText>
          </w:r>
          <w:r>
            <w:rPr/>
          </w:r>
          <w:r>
            <w:rPr/>
            <w:fldChar w:fldCharType="separate"/>
          </w:r>
          <w:r>
            <w:rPr/>
          </w:r>
          <w:r/>
          <w:r>
            <w:rPr/>
            <w:fldChar w:fldCharType="end"/>
          </w:r>
          <w:r>
            <w:rPr/>
          </w:r>
        </w:p>
        <w:p>
          <w:pPr>
            <w:pStyle w:val="TOC1"/>
            <w:rPr/>
          </w:pPr>
          <w:r>
            <w:rPr/>
            <w:t>. PETITION FOR WRIT OF REVIEW AND/OR MANDATE AND/OR PROHIBITION OR OTHER APPROPRIATE RELIEF</w:t>
            <w:tab/>
          </w:r>
          <w:r>
            <w:fldChar w:fldCharType="begin"/>
          </w:r>
          <w:r>
            <w:rPr/>
            <w:instrText xml:space="preserve"> GOTOBUTTON _Toc524517895  </w:instrText>
          </w:r>
          <w:r>
            <w:rPr/>
          </w:r>
          <w:r>
            <w:rPr/>
            <w:fldChar w:fldCharType="separate"/>
          </w:r>
          <w:r>
            <w:rPr/>
          </w:r>
          <w:r/>
          <w:r>
            <w:rPr/>
            <w:fldChar w:fldCharType="end"/>
          </w:r>
          <w:r>
            <w:rPr/>
          </w:r>
        </w:p>
        <w:p>
          <w:pPr>
            <w:pStyle w:val="TOC3"/>
            <w:rPr/>
          </w:pPr>
          <w:r>
            <w:rPr/>
            <w:t>A. The Petitioner and Respondent</w:t>
            <w:tab/>
          </w:r>
          <w:r>
            <w:fldChar w:fldCharType="begin"/>
          </w:r>
          <w:r>
            <w:rPr/>
            <w:instrText xml:space="preserve"> GOTOBUTTON _Toc524517896  </w:instrText>
          </w:r>
          <w:r>
            <w:rPr/>
          </w:r>
          <w:r>
            <w:rPr/>
            <w:fldChar w:fldCharType="separate"/>
          </w:r>
          <w:r>
            <w:rPr/>
          </w:r>
          <w:r/>
          <w:r>
            <w:rPr/>
            <w:fldChar w:fldCharType="end"/>
          </w:r>
          <w:r>
            <w:rPr/>
          </w:r>
        </w:p>
        <w:p>
          <w:pPr>
            <w:pStyle w:val="TOC3"/>
            <w:rPr/>
          </w:pPr>
          <w:r>
            <w:rPr/>
            <w:t>B. Authenticity of Exhibits</w:t>
            <w:tab/>
          </w:r>
          <w:r>
            <w:fldChar w:fldCharType="begin"/>
          </w:r>
          <w:r>
            <w:rPr/>
            <w:instrText xml:space="preserve"> GOTOBUTTON _Toc524517897  </w:instrText>
          </w:r>
          <w:r>
            <w:rPr/>
          </w:r>
          <w:r>
            <w:rPr/>
            <w:fldChar w:fldCharType="separate"/>
          </w:r>
          <w:r>
            <w:rPr/>
          </w:r>
          <w:r/>
          <w:r>
            <w:rPr/>
            <w:fldChar w:fldCharType="end"/>
          </w:r>
          <w:r>
            <w:rPr/>
          </w:r>
        </w:p>
        <w:p>
          <w:pPr>
            <w:pStyle w:val="TOC3"/>
            <w:rPr/>
          </w:pPr>
          <w:r>
            <w:rPr/>
            <w:t>C. Chronology of Pertinent Events</w:t>
            <w:tab/>
          </w:r>
          <w:r>
            <w:fldChar w:fldCharType="begin"/>
          </w:r>
          <w:r>
            <w:rPr/>
            <w:instrText xml:space="preserve"> GOTOBUTTON _Toc524517898  </w:instrText>
          </w:r>
          <w:r>
            <w:rPr/>
          </w:r>
          <w:r>
            <w:rPr/>
            <w:fldChar w:fldCharType="separate"/>
          </w:r>
          <w:r>
            <w:rPr/>
          </w:r>
          <w:r/>
          <w:r>
            <w:rPr/>
            <w:fldChar w:fldCharType="end"/>
          </w:r>
          <w:r>
            <w:rPr/>
          </w:r>
        </w:p>
        <w:p>
          <w:pPr>
            <w:pStyle w:val="TOC3"/>
            <w:rPr/>
          </w:pPr>
          <w:r>
            <w:rPr/>
            <w:t>D. Basis For Relief</w:t>
            <w:tab/>
          </w:r>
          <w:r>
            <w:fldChar w:fldCharType="begin"/>
          </w:r>
          <w:r>
            <w:rPr/>
            <w:instrText xml:space="preserve"> GOTOBUTTON _Toc524517899  </w:instrText>
          </w:r>
          <w:r>
            <w:rPr/>
          </w:r>
          <w:r>
            <w:rPr/>
            <w:fldChar w:fldCharType="separate"/>
          </w:r>
          <w:r>
            <w:rPr/>
          </w:r>
          <w:r/>
          <w:r>
            <w:rPr/>
            <w:fldChar w:fldCharType="end"/>
          </w:r>
          <w:r>
            <w:rPr/>
          </w:r>
        </w:p>
        <w:p>
          <w:pPr>
            <w:pStyle w:val="TOC3"/>
            <w:rPr/>
          </w:pPr>
          <w:r>
            <w:rPr/>
            <w:t>E. Supreme Court Review Is The Only Available Remedy</w:t>
            <w:tab/>
          </w:r>
          <w:r>
            <w:fldChar w:fldCharType="begin"/>
          </w:r>
          <w:r>
            <w:rPr/>
            <w:instrText xml:space="preserve"> GOTOBUTTON _Toc524517900  </w:instrText>
          </w:r>
          <w:r>
            <w:rPr/>
          </w:r>
          <w:r>
            <w:rPr/>
            <w:fldChar w:fldCharType="separate"/>
          </w:r>
          <w:r>
            <w:rPr/>
          </w:r>
          <w:r/>
          <w:r>
            <w:rPr/>
            <w:fldChar w:fldCharType="end"/>
          </w:r>
          <w:r>
            <w:rPr/>
          </w:r>
        </w:p>
        <w:p>
          <w:pPr>
            <w:pStyle w:val="TOC3"/>
            <w:rPr/>
          </w:pPr>
          <w:r>
            <w:rPr/>
            <w:t>F. Petitioner Requests And Is Entitled To A Temporary Stay</w:t>
            <w:tab/>
          </w:r>
          <w:r>
            <w:fldChar w:fldCharType="begin"/>
          </w:r>
          <w:r>
            <w:rPr/>
            <w:instrText xml:space="preserve"> GOTOBUTTON _Toc524517901  </w:instrText>
          </w:r>
          <w:r>
            <w:rPr/>
          </w:r>
          <w:r>
            <w:rPr/>
            <w:fldChar w:fldCharType="separate"/>
          </w:r>
          <w:r>
            <w:rPr/>
          </w:r>
          <w:r/>
          <w:r>
            <w:rPr/>
            <w:fldChar w:fldCharType="end"/>
          </w:r>
          <w:r>
            <w:rPr/>
          </w:r>
        </w:p>
        <w:p>
          <w:pPr>
            <w:pStyle w:val="TOC1"/>
            <w:rPr/>
          </w:pPr>
          <w:r>
            <w:rPr/>
            <w:t>. PRAYER</w:t>
            <w:tab/>
          </w:r>
          <w:r>
            <w:fldChar w:fldCharType="begin"/>
          </w:r>
          <w:r>
            <w:rPr/>
            <w:instrText xml:space="preserve"> GOTOBUTTON _Toc524517902  </w:instrText>
          </w:r>
          <w:r>
            <w:rPr/>
          </w:r>
          <w:r>
            <w:rPr/>
            <w:fldChar w:fldCharType="separate"/>
          </w:r>
          <w:r>
            <w:rPr/>
          </w:r>
          <w:r/>
          <w:r>
            <w:rPr/>
            <w:fldChar w:fldCharType="end"/>
          </w:r>
          <w:r>
            <w:rPr/>
          </w:r>
        </w:p>
        <w:p>
          <w:pPr>
            <w:pStyle w:val="TOC1"/>
            <w:rPr/>
          </w:pPr>
          <w:r>
            <w:rPr/>
            <w:t>. VERIFICATION</w:t>
            <w:tab/>
          </w:r>
          <w:r>
            <w:fldChar w:fldCharType="begin"/>
          </w:r>
          <w:r>
            <w:rPr/>
            <w:instrText xml:space="preserve"> GOTOBUTTON _Toc524517903  </w:instrText>
          </w:r>
          <w:r>
            <w:rPr/>
          </w:r>
          <w:r>
            <w:rPr/>
            <w:fldChar w:fldCharType="separate"/>
          </w:r>
          <w:r>
            <w:rPr/>
          </w:r>
          <w:r/>
          <w:r>
            <w:rPr/>
            <w:fldChar w:fldCharType="end"/>
          </w:r>
          <w:r>
            <w:rPr/>
          </w:r>
        </w:p>
        <w:p>
          <w:pPr>
            <w:pStyle w:val="TOC1"/>
            <w:rPr/>
          </w:pPr>
          <w:r>
            <w:rPr/>
            <w:t>. MEMORANDUM OF POINTS AND AUTHORITIES</w:t>
            <w:tab/>
          </w:r>
          <w:r>
            <w:fldChar w:fldCharType="begin"/>
          </w:r>
          <w:r>
            <w:rPr/>
            <w:instrText xml:space="preserve"> GOTOBUTTON _Toc524517904  </w:instrText>
          </w:r>
          <w:r>
            <w:rPr/>
          </w:r>
          <w:r>
            <w:rPr/>
            <w:fldChar w:fldCharType="separate"/>
          </w:r>
          <w:r>
            <w:rPr/>
          </w:r>
          <w:r/>
          <w:r>
            <w:rPr/>
            <w:fldChar w:fldCharType="end"/>
          </w:r>
          <w:r>
            <w:rPr/>
          </w:r>
        </w:p>
        <w:p>
          <w:pPr>
            <w:pStyle w:val="TOC2"/>
            <w:rPr/>
          </w:pPr>
          <w:r>
            <w:rPr/>
            <w:t xml:space="preserve">I. </w:t>
            <w:tab/>
            <w:t>WRIT RELIEF IS ESSENTIAL TO RESOLVE AN ISSUE OF URGENT STATEWIDE IMPORTANCE</w:t>
            <w:tab/>
          </w:r>
          <w:r>
            <w:fldChar w:fldCharType="begin"/>
          </w:r>
          <w:r>
            <w:rPr/>
            <w:instrText xml:space="preserve"> GOTOBUTTON _Toc524517905  </w:instrText>
          </w:r>
          <w:r>
            <w:rPr/>
          </w:r>
          <w:r>
            <w:rPr/>
            <w:fldChar w:fldCharType="separate"/>
          </w:r>
          <w:r>
            <w:rPr/>
          </w:r>
          <w:r/>
          <w:r>
            <w:rPr/>
            <w:fldChar w:fldCharType="end"/>
          </w:r>
          <w:r>
            <w:rPr/>
          </w:r>
        </w:p>
        <w:p>
          <w:pPr>
            <w:pStyle w:val="TOC2"/>
            <w:rPr/>
          </w:pPr>
          <w:r>
            <w:rPr/>
            <w:t xml:space="preserve">II. </w:t>
            <w:tab/>
            <w:t>THE ISSUES PRESENTED</w:t>
            <w:tab/>
          </w:r>
          <w:r>
            <w:fldChar w:fldCharType="begin"/>
          </w:r>
          <w:r>
            <w:rPr/>
            <w:instrText xml:space="preserve"> GOTOBUTTON _Toc524517906  </w:instrText>
          </w:r>
          <w:r>
            <w:rPr/>
          </w:r>
          <w:r>
            <w:rPr/>
            <w:fldChar w:fldCharType="separate"/>
          </w:r>
          <w:r>
            <w:rPr/>
          </w:r>
          <w:r/>
          <w:r>
            <w:rPr/>
            <w:fldChar w:fldCharType="end"/>
          </w:r>
          <w:r>
            <w:rPr/>
          </w:r>
        </w:p>
        <w:p>
          <w:pPr>
            <w:pStyle w:val="TOC2"/>
            <w:rPr/>
          </w:pPr>
          <w:r>
            <w:rPr/>
            <w:t>III. THIS PETITION IS THE ONLY AVAILABLE REMEDY</w:t>
            <w:tab/>
          </w:r>
          <w:r>
            <w:fldChar w:fldCharType="begin"/>
          </w:r>
          <w:r>
            <w:rPr/>
            <w:instrText xml:space="preserve"> GOTOBUTTON _Toc524517907  </w:instrText>
          </w:r>
          <w:r>
            <w:rPr/>
          </w:r>
          <w:r>
            <w:rPr/>
            <w:fldChar w:fldCharType="separate"/>
          </w:r>
          <w:r>
            <w:rPr/>
          </w:r>
          <w:r/>
          <w:r>
            <w:rPr/>
            <w:fldChar w:fldCharType="end"/>
          </w:r>
          <w:r>
            <w:rPr/>
          </w:r>
        </w:p>
        <w:p>
          <w:pPr>
            <w:pStyle w:val="TOC2"/>
            <w:rPr/>
          </w:pPr>
          <w:r>
            <w:rPr/>
            <w:t xml:space="preserve">IV. </w:t>
            <w:tab/>
            <w:t>STANDARD OF REVIEW</w:t>
            <w:tab/>
          </w:r>
          <w:r>
            <w:fldChar w:fldCharType="begin"/>
          </w:r>
          <w:r>
            <w:rPr/>
            <w:instrText xml:space="preserve"> GOTOBUTTON _Toc524517908  </w:instrText>
          </w:r>
          <w:r>
            <w:rPr/>
          </w:r>
          <w:r>
            <w:rPr/>
            <w:fldChar w:fldCharType="separate"/>
          </w:r>
          <w:r>
            <w:rPr/>
          </w:r>
          <w:r/>
          <w:r>
            <w:rPr/>
            <w:fldChar w:fldCharType="end"/>
          </w:r>
          <w:r>
            <w:rPr/>
          </w:r>
        </w:p>
        <w:p>
          <w:pPr>
            <w:pStyle w:val="TOC2"/>
            <w:rPr/>
          </w:pPr>
          <w:r>
            <w:rPr/>
            <w:t xml:space="preserve">V. </w:t>
            <w:tab/>
            <w:t>ARGUMENT</w:t>
            <w:tab/>
          </w:r>
          <w:r>
            <w:fldChar w:fldCharType="begin"/>
          </w:r>
          <w:r>
            <w:rPr/>
            <w:instrText xml:space="preserve"> GOTOBUTTON _Toc524517909  </w:instrText>
          </w:r>
          <w:r>
            <w:rPr/>
          </w:r>
          <w:r>
            <w:rPr/>
            <w:fldChar w:fldCharType="separate"/>
          </w:r>
          <w:r>
            <w:rPr/>
          </w:r>
          <w:r/>
          <w:r>
            <w:rPr/>
            <w:fldChar w:fldCharType="end"/>
          </w:r>
          <w:r>
            <w:rPr/>
          </w:r>
        </w:p>
        <w:p>
          <w:pPr>
            <w:pStyle w:val="TOC3"/>
            <w:rPr/>
          </w:pPr>
          <w:r>
            <w:rPr/>
            <w:t>A. The Commission Violated The Contract Clauses On The United States And The California Constitutions.</w:t>
            <w:tab/>
          </w:r>
          <w:r>
            <w:fldChar w:fldCharType="begin"/>
          </w:r>
          <w:r>
            <w:rPr/>
            <w:instrText xml:space="preserve"> GOTOBUTTON _Toc524517910  </w:instrText>
          </w:r>
          <w:r>
            <w:rPr/>
          </w:r>
          <w:r>
            <w:rPr/>
            <w:fldChar w:fldCharType="separate"/>
          </w:r>
          <w:r>
            <w:rPr/>
          </w:r>
          <w:r/>
          <w:r>
            <w:rPr/>
            <w:fldChar w:fldCharType="end"/>
          </w:r>
          <w:r>
            <w:rPr/>
          </w:r>
        </w:p>
        <w:p>
          <w:pPr>
            <w:pStyle w:val="TOC3"/>
            <w:rPr/>
          </w:pPr>
          <w:r>
            <w:rPr/>
            <w:t>B. The Commission’s Order Is an Unconstitutional Taking</w:t>
            <w:tab/>
          </w:r>
          <w:r>
            <w:fldChar w:fldCharType="begin"/>
          </w:r>
          <w:r>
            <w:rPr/>
            <w:instrText xml:space="preserve"> GOTOBUTTON _Toc524517911  </w:instrText>
          </w:r>
          <w:r>
            <w:rPr/>
          </w:r>
          <w:r>
            <w:rPr/>
            <w:fldChar w:fldCharType="separate"/>
          </w:r>
          <w:r>
            <w:rPr/>
          </w:r>
          <w:r/>
          <w:r>
            <w:rPr/>
            <w:fldChar w:fldCharType="end"/>
          </w:r>
          <w:r>
            <w:rPr/>
          </w:r>
        </w:p>
        <w:p>
          <w:pPr>
            <w:pStyle w:val="TOC3"/>
            <w:rPr/>
          </w:pPr>
          <w:r>
            <w:rPr/>
            <w:t>C. The Commission Violated Petitioner’s Due Process Rights</w:t>
            <w:tab/>
          </w:r>
          <w:r>
            <w:fldChar w:fldCharType="begin"/>
          </w:r>
          <w:r>
            <w:rPr/>
            <w:instrText xml:space="preserve"> GOTOBUTTON _Toc524517912  </w:instrText>
          </w:r>
          <w:r>
            <w:rPr/>
          </w:r>
          <w:r>
            <w:rPr/>
            <w:fldChar w:fldCharType="separate"/>
          </w:r>
          <w:r>
            <w:rPr/>
          </w:r>
          <w:r/>
          <w:r>
            <w:rPr/>
            <w:fldChar w:fldCharType="end"/>
          </w:r>
          <w:r>
            <w:rPr/>
          </w:r>
        </w:p>
        <w:p>
          <w:pPr>
            <w:pStyle w:val="TOC2"/>
            <w:rPr/>
          </w:pPr>
          <w:r>
            <w:rPr/>
            <w:t xml:space="preserve">VI. </w:t>
            <w:tab/>
            <w:t>CONCLUSION</w:t>
            <w:tab/>
          </w:r>
          <w:r>
            <w:fldChar w:fldCharType="begin"/>
          </w:r>
          <w:r>
            <w:rPr/>
            <w:instrText xml:space="preserve"> GOTOBUTTON _Toc524517913  </w:instrText>
          </w:r>
          <w:r>
            <w:rPr/>
          </w:r>
          <w:r>
            <w:rPr/>
            <w:fldChar w:fldCharType="separate"/>
          </w:r>
          <w:r>
            <w:rPr/>
          </w:r>
          <w:r/>
          <w:r>
            <w:rPr/>
            <w:fldChar w:fldCharType="end"/>
          </w:r>
          <w:r>
            <w:rPr/>
          </w:r>
          <w:r>
            <w:rPr/>
            <w:fldChar w:fldCharType="end"/>
          </w:r>
        </w:p>
      </w:sdtContent>
    </w:sdt>
    <w:p>
      <w:pPr>
        <w:pStyle w:val="DoubleSpacing"/>
        <w:jc w:val="center"/>
        <w:rPr>
          <w:rFonts w:ascii="Courier New" w:hAnsi="Courier New" w:eastAsia="Courier New" w:cs="Courier New"/>
          <w:lang w:val="en-CA"/>
        </w:rPr>
      </w:pPr>
      <w:r>
        <w:rPr>
          <w:rFonts w:eastAsia="Courier New" w:cs="Courier New" w:ascii="Courier New" w:hAnsi="Courier New"/>
          <w:lang w:val="en-CA"/>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pStyle w:val="DoubleSpacing"/>
        <w:jc w:val="center"/>
        <w:rPr>
          <w:rFonts w:ascii="Courier New" w:hAnsi="Courier New" w:eastAsia="Courier New" w:cs="Courier New"/>
          <w:b/>
          <w:bCs/>
        </w:rPr>
      </w:pPr>
      <w:r>
        <w:rPr>
          <w:rFonts w:eastAsia="Courier New" w:cs="Courier New" w:ascii="Courier New" w:hAnsi="Courier New"/>
          <w:b/>
          <w:bCs/>
        </w:rPr>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rPr>
      </w:pPr>
      <w:r>
        <w:rPr>
          <w:rFonts w:eastAsia="Courier New" w:cs="Courier New" w:ascii="Courier New" w:hAnsi="Courier New"/>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720" w:start="1440"/>
        <w:rPr/>
      </w:pPr>
      <w:r>
        <w:rPr/>
        <w:t>INTRODUCTION</w:t>
      </w:r>
    </w:p>
    <w:p>
      <w:pPr>
        <w:pStyle w:val="Body"/>
        <w:rPr>
          <w:rFonts w:ascii="Courier New" w:hAnsi="Courier New" w:eastAsia="Courier New" w:cs="Courier New"/>
        </w:rPr>
      </w:pPr>
      <w:r>
        <w:rPr>
          <w:rFonts w:eastAsia="Courier New" w:cs="Courier New" w:ascii="Courier New" w:hAnsi="Courier New"/>
        </w:rPr>
        <w:t>This case presents issues of urgent statewide importance because it concerns the unconstitutional and unlawful actions of the Public Utilities Commission which have interfered with the right of Californians to receive the benefit of their existing contracts enabling them to purchase direct access power, rather than being compelled to purchase power from utilities at the higher prices.</w:t>
      </w:r>
    </w:p>
    <w:p>
      <w:pPr>
        <w:pStyle w:val="Body"/>
        <w:rPr/>
      </w:pPr>
      <w:r>
        <w:rPr>
          <w:rFonts w:eastAsia="Courier New" w:cs="Courier New" w:ascii="Courier New" w:hAnsi="Courier New"/>
        </w:rPr>
        <w:t xml:space="preserve">On September __, 2001, the California Public Utilities Commission (the “Commission”) issued an order (the “Order”) abrogating the rights of the parties to thousands of </w:t>
      </w:r>
      <w:r>
        <w:rPr>
          <w:rFonts w:eastAsia="Courier New" w:cs="Courier New" w:ascii="Courier New" w:hAnsi="Courier New"/>
          <w:u w:val="single"/>
        </w:rPr>
        <w:t>existing</w:t>
      </w:r>
      <w:r>
        <w:rPr>
          <w:rFonts w:eastAsia="Courier New" w:cs="Courier New" w:ascii="Courier New" w:hAnsi="Courier New"/>
        </w:rPr>
        <w:t xml:space="preserve"> direct access contracts when it retroactively suspended all such contracts entered into on and after July 1, 2001, between California’s end use retail consumers (such as Petitioners University of California and the California State University) and energy service providers (such as Petitioner Enron Energy Services, Inc.).  In addition, the Order unilaterally modified the terms of all other direct access contracts between the energy service providers and their California retail customers.  The Commission took its action over protest</w:t>
      </w:r>
      <w:r>
        <w:rPr>
          <w:rStyle w:val="FootnoteCharacters"/>
          <w:rStyle w:val="FootnoteReference"/>
          <w:rFonts w:eastAsia="Courier New" w:cs="Courier New" w:ascii="Courier New" w:hAnsi="Courier New"/>
          <w:b w:val="false"/>
          <w:bCs w:val="false"/>
        </w:rPr>
        <w:footnoteReference w:id="2"/>
      </w:r>
      <w:r>
        <w:rPr>
          <w:rFonts w:eastAsia="Courier New" w:cs="Courier New" w:ascii="Courier New" w:hAnsi="Courier New"/>
        </w:rPr>
        <w:t xml:space="preserve"> without allowing any hearings.</w:t>
      </w:r>
    </w:p>
    <w:p>
      <w:pPr>
        <w:pStyle w:val="Body"/>
        <w:rPr>
          <w:rFonts w:ascii="Courier New" w:hAnsi="Courier New" w:eastAsia="Courier New" w:cs="Courier New"/>
        </w:rPr>
      </w:pPr>
      <w:r>
        <w:rPr>
          <w:rFonts w:eastAsia="Courier New" w:cs="Courier New" w:ascii="Courier New" w:hAnsi="Courier New"/>
        </w:rPr>
        <w:t>The Commission’s action was unconstitutional, unlawful and an abuse of its powers.  Not only did the Commission violate the contract clauses in the United States and California Constitutions, it unlawfully took Petitioners’ property without compensation, interfered with interstate commerce, and deprived Petitioners of due process by refusing to conduct hearings.  The Commission’s conduct requires immediate review.</w:t>
      </w:r>
    </w:p>
    <w:p>
      <w:pPr>
        <w:pStyle w:val="Body"/>
        <w:rPr>
          <w:rFonts w:ascii="Courier New" w:hAnsi="Courier New" w:eastAsia="Courier New" w:cs="Courier New"/>
        </w:rPr>
      </w:pPr>
      <w:r>
        <w:rPr>
          <w:rFonts w:eastAsia="Courier New" w:cs="Courier New" w:ascii="Courier New" w:hAnsi="Courier New"/>
        </w:rPr>
        <w:t>The issue is widespread and urgent because, as of September __, 2001, thousands of direct access contracts were in place pursuant to which California retail customers obtained and paid for electrical power provided by energy service providers located in and outside of California.  By its action, the Commission has in effect voided these contracts.  In taking this action, the Commission has damaged the direct access customers by forcing them to obtain power at higher rates from the regulated utilities and has increased the burden on California to obtain the additional energy needed by the direct access customers.  The energy providers have also been injured because of the loss of the benefit of their direct access contracts and because of funds they have been required to expend and commitments they have been required to make in order to provide direct access power, including contractual commitments to third parties.</w:t>
      </w:r>
    </w:p>
    <w:p>
      <w:pPr>
        <w:pStyle w:val="Body"/>
        <w:rPr>
          <w:rFonts w:ascii="Courier New" w:hAnsi="Courier New" w:eastAsia="Courier New" w:cs="Courier New"/>
        </w:rPr>
      </w:pPr>
      <w:r>
        <w:rPr>
          <w:rFonts w:eastAsia="Courier New" w:cs="Courier New" w:ascii="Courier New" w:hAnsi="Courier New"/>
        </w:rPr>
        <w:t>Immediate relief from this Court is essential because:</w:t>
      </w:r>
    </w:p>
    <w:p>
      <w:pPr>
        <w:pStyle w:val="Body"/>
        <w:numPr>
          <w:ilvl w:val="0"/>
          <w:numId w:val="2"/>
        </w:numPr>
        <w:tabs>
          <w:tab w:val="clear" w:pos="720"/>
          <w:tab w:val="left" w:pos="0" w:leader="none"/>
        </w:tabs>
        <w:spacing w:before="0" w:after="120"/>
        <w:ind w:hanging="720" w:start="1800" w:end="0"/>
        <w:rPr>
          <w:rFonts w:ascii="Courier New" w:hAnsi="Courier New" w:eastAsia="Courier New" w:cs="Courier New"/>
        </w:rPr>
      </w:pPr>
      <w:r>
        <w:rPr>
          <w:rFonts w:eastAsia="Courier New" w:cs="Courier New" w:ascii="Courier New" w:hAnsi="Courier New"/>
        </w:rPr>
        <w:t>The retroactive application of the Commission’s Order violates the contract clause contained in (a) Section 10 of Article I of the United States Constitution, made applicable to the States by the Fourteenth Amendment of the United States Constitution, and (b) Article 1, Section 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direct access contracts constitutes a taking of Petitioners’ property without compensation in violation of (a) the Fifth and Fourteenth Amendments of the United States Constitution and (b) Article 1, Section 19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contracts interferes within interstate commerce in violation of Section 8 of Article I of the United States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refusal to allow hearings denied fundamental due process guaranteed by (a) the Fifth and Fourteenth Amendments of the United States Constitution and (b) Article 1, Section 7 of the California Constitution.</w:t>
      </w:r>
    </w:p>
    <w:p>
      <w:pPr>
        <w:pStyle w:val="Body"/>
        <w:numPr>
          <w:ilvl w:val="0"/>
          <w:numId w:val="2"/>
        </w:numPr>
        <w:tabs>
          <w:tab w:val="clear" w:pos="720"/>
          <w:tab w:val="left" w:pos="0" w:leader="none"/>
        </w:tabs>
        <w:spacing w:before="0" w:after="240"/>
        <w:ind w:hanging="360" w:start="1800" w:end="0"/>
        <w:rPr>
          <w:rFonts w:ascii="Courier New" w:hAnsi="Courier New" w:eastAsia="Courier New" w:cs="Courier New"/>
        </w:rPr>
      </w:pPr>
      <w:r>
        <w:rPr>
          <w:rFonts w:eastAsia="Courier New" w:cs="Courier New" w:ascii="Courier New" w:hAnsi="Courier New"/>
        </w:rPr>
        <w:t xml:space="preserve">The Commission acted in excess of its powers and contrary to the law, and the Commission abused its discretion, by issuing an Order with retroactive application. </w:t>
      </w:r>
    </w:p>
    <w:p>
      <w:pPr>
        <w:pStyle w:val="Body"/>
        <w:ind w:hanging="0" w:end="0"/>
        <w:rPr>
          <w:rFonts w:ascii="Courier New" w:hAnsi="Courier New" w:eastAsia="Courier New" w:cs="Courier New"/>
        </w:rPr>
      </w:pPr>
      <w:r>
        <w:rPr>
          <w:rFonts w:eastAsia="Courier New" w:cs="Courier New" w:ascii="Courier New" w:hAnsi="Courier New"/>
        </w:rPr>
        <w:t xml:space="preserve">This Petition presents a compelling case for writ review to resolve issues of statewide importance and to protect California residents and those engaged in business with them from a flagrant violation of their constitutional rights and from the Commission’s unlawful abuse of power.  </w:t>
      </w:r>
    </w:p>
    <w:p>
      <w:pPr>
        <w:pStyle w:val="Body"/>
        <w:rPr>
          <w:rFonts w:ascii="Courier New" w:hAnsi="Courier New" w:eastAsia="Courier New" w:cs="Courier New"/>
        </w:rPr>
      </w:pPr>
      <w:r>
        <w:rPr>
          <w:rFonts w:eastAsia="Courier New" w:cs="Courier New" w:ascii="Courier New" w:hAnsi="Courier New"/>
        </w:rPr>
        <w:t>Pending review by this Court, Petitioners request that an immediate stay order be issued pursuant to Public Utilities Code § 1763(a) to maintain the status quo.  Otherwise, Petitioners will suffer irreparable harm from the loss of their direct access contracts, from a multiplicity of claims and lawsuits for nonperformance, and from the loss of the revenues received for services provided prior to the Order.</w:t>
      </w:r>
    </w:p>
    <w:p>
      <w:pPr>
        <w:pStyle w:val="Body"/>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720" w:start="1440"/>
        <w:rPr/>
      </w:pPr>
      <w:r>
        <w:rPr/>
        <w:t>PETITION FOR WRIT OF REVIEW AND/OR MANDATE AND/OR</w:t>
        <w:br/>
        <w:t>PROHIBITION OR OTHER APPROPRIATE RELIEF</w:t>
      </w:r>
    </w:p>
    <w:p>
      <w:pPr>
        <w:pStyle w:val="Heading3"/>
        <w:tabs>
          <w:tab w:val="clear" w:pos="720"/>
          <w:tab w:val="left" w:pos="0" w:leader="none"/>
        </w:tabs>
        <w:ind w:hanging="720" w:start="720"/>
        <w:rPr/>
      </w:pPr>
      <w:r>
        <w:rPr/>
        <w:t>The Petitioners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Petitioners University of California and California State University (hereinafter referred to collectively as “UC/CSU”) are agencies of the State of Califoria and two of California’s retail users of electrical power obtained pursuant to direct assess service contracts.  Petitioner Enron Energy Services, Inc.(hereinafter “Enron”), is a corporation organized under the laws of _____ with its principal place of business in Houston, Texas.  Enron an energy service provider which entered into direct access contracts with California retail users prior and subsequent to July 1, 2001.  Some of the power supplied by Enron is obtained from and transported through interstate commerce.</w:t>
      </w:r>
    </w:p>
    <w:p>
      <w:pPr>
        <w:pStyle w:val="Body"/>
        <w:rPr/>
      </w:pPr>
      <w:r>
        <w:rPr>
          <w:rFonts w:eastAsia="Courier New" w:cs="Courier New" w:ascii="Courier New" w:hAnsi="Courier New"/>
        </w:rPr>
        <w:t xml:space="preserve"> </w:t>
      </w: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privately-owned utilities providing electrical service to some of California’s retail energy users.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Petitioners and the other direct access users and energy service providers are not utilities regulated by the Commission.</w:t>
      </w:r>
    </w:p>
    <w:p>
      <w:pPr>
        <w:pStyle w:val="Heading3"/>
        <w:tabs>
          <w:tab w:val="clear" w:pos="720"/>
          <w:tab w:val="left" w:pos="0" w:leader="none"/>
        </w:tabs>
        <w:ind w:hanging="720" w:start="720"/>
        <w:rPr/>
      </w:pPr>
      <w:r>
        <w:rPr/>
        <w:t>Authenticity of Exhibits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All Exhibits referred to in this Petition are true copies of original documents on file with the Commission.  The Exhibits are incorporated herein by this reference as though set forth in full.</w:t>
      </w:r>
      <w:r>
        <w:rPr>
          <w:rStyle w:val="FootnoteCharacters"/>
          <w:rStyle w:val="FootnoteReference"/>
          <w:rFonts w:eastAsia="Courier New" w:cs="Courier New" w:ascii="Courier New" w:hAnsi="Courier New"/>
        </w:rPr>
        <w:footnoteReference w:id="3"/>
      </w:r>
    </w:p>
    <w:p>
      <w:pPr>
        <w:pStyle w:val="Heading3"/>
        <w:tabs>
          <w:tab w:val="clear" w:pos="720"/>
          <w:tab w:val="left" w:pos="0" w:leader="none"/>
        </w:tabs>
        <w:ind w:hanging="720" w:start="720"/>
        <w:rPr/>
      </w:pPr>
      <w:r>
        <w:rPr/>
        <w:t>Chronology of Pertinent Events.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Since approximately 1996, California retail users have been able to obtain electrical power directly from energy service providers other than the utilities regulated by the Commission.  This is referred to as direct access and was authorized by the Legislature (PUC § ____) as part of California’s public policy to create an electrical supply industry with many competitors.  As of July 31, 2001, more than 70,000 direct access contracts were in effect statewide, comprising approximately 3.1% of the California demand for electricity.</w:t>
      </w:r>
      <w:r>
        <w:rPr>
          <w:rStyle w:val="FootnoteCharacters"/>
          <w:rStyle w:val="FootnoteReference"/>
          <w:rFonts w:eastAsia="Courier New" w:cs="Courier New" w:ascii="Courier New" w:hAnsi="Courier New"/>
          <w:b w:val="false"/>
          <w:bCs w:val="false"/>
        </w:rPr>
        <w:footnoteReference w:id="4"/>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Proceeding”), requesting authorization to temporarily suspend payment of Power Exchange energy credits to energy service providers and to their direct access customers.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On February 1, 2001, AB 1X was enacted on an urgency basis which, among other things, added Section 80110 to the Water Code.  This Section provides in pertinent part:</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Subsequent to February 1, 2001, Petitioners are informed and believe that the Commission decided to use the Edison Proceeding as the vehicle by which to determine when to suspend the right to acquire energy by means of direct access.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On June 14, 2001, a draft decision in the Edison Proceeding was issued by Administrative Law Judge (“ALJ”) Barnett proposing that direct access be suspended effective July 1, 2001.  The Commission declined to act on this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On June 14, 2001, an alternate draft decision in the Edison Proceeding was issued by Public Utilities Commissioner Bilas which called for further investigation and hearings by the Commission and did not call for suspension of direct access.  The Commission declined to act on this proposed alternate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in the Edison Proceeding proposing that direct access be suspended effective September 1, 2001.  The Commission declined to act on this proposed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 xml:space="preserve">On August 27, 2001, ALJ Barnett issued a third draft decision in the Edison Proceeding proposing that all direct access contracts entered into from and after July 1, 2001, be suspended </w:t>
      </w:r>
      <w:r>
        <w:rPr>
          <w:rFonts w:eastAsia="Courier New" w:cs="Courier New" w:ascii="Courier New" w:hAnsi="Courier New"/>
          <w:u w:val="single"/>
        </w:rPr>
        <w:t>retroactively</w:t>
      </w:r>
      <w:r>
        <w:rPr>
          <w:rFonts w:eastAsia="Courier New" w:cs="Courier New" w:ascii="Courier New" w:hAnsi="Courier New"/>
        </w:rPr>
        <w:t xml:space="preserve"> and that the terms of all other direct access contracts be modified requiring such contracts to terminate on their first anniversary.  (Exhibit A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On August 30, 2001, an alternate draft decision in the Edison Proceeding was issued by Commissioner Bilas which called for further investigation by the Commission, including evidentiary hearings, and did not call for suspension of direct access.  (Exhibit B at __.)</w:t>
      </w:r>
    </w:p>
    <w:p>
      <w:pPr>
        <w:pStyle w:val="Body"/>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bookmarkEnd w:id="1"/>
      <w:r>
        <w:rPr>
          <w:rFonts w:eastAsia="Courier New" w:cs="Courier New" w:ascii="Courier New" w:hAnsi="Courier New"/>
        </w:rPr>
        <w:t>.</w:t>
        <w:tab/>
        <w:t>On September 4, 2001, Petitioner Enron (as a member of the Alliance For Retail Energy Markets) and Petitioners UC/CSU submitted written comments(Exhibit C and D, respectively) opposing the August 27 Draft Decision and supporting the August 30 Alternate Draft Decision.  (Exhibits C at _ and D at 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Other written comments opposing the August 27 Draft Decision and supporting the August 30 Alternate Draft Decision were submitted to the Commission, including comments from the Federal Executive Agencies (Exhibit E), the California Manufacturers and Technology Association (Exhibit F), San Diego Gas &amp; Electric Company (Exhibit G), the Association of Bay Area Governments Publicly Owned Energy Resources (Exhibit H), the Association of California Water Agencies (Exhibit I), the California Industrial Users (Exhibit J), the California Large Energy Consumers Association (Exhibit K), Calpine Corporation (Exhibit L), the Golden State Power Cooperative (Exhibit M), The Kroger Co. (Exhibit N), Pacific Gas and Electric Company (Exhibit O), San Francisco Bay Area Rapid Transit District (Exhibit P), and Southern California Edison (Exhibit Q).</w:t>
      </w:r>
    </w:p>
    <w:p>
      <w:pPr>
        <w:pStyle w:val="Body"/>
        <w:rPr/>
      </w:pPr>
      <w:bookmarkStart w:id="2" w:name="bkMarkSeq2"/>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bookmarkEnd w:id="2"/>
      <w:r>
        <w:rPr>
          <w:rFonts w:eastAsia="Courier New" w:cs="Courier New" w:ascii="Courier New" w:hAnsi="Courier New"/>
        </w:rPr>
        <w:t>.</w:t>
        <w:tab/>
        <w:t xml:space="preserve">On September __, 2001, the Commission, pursuant to Section 80110 of the Water Code, enacted the August 27, 2001 Draft Decision of ALJ Barnett.  The Commission Order (Exhibit R) was effective immediately and suspended as of July 1, 2001, all direct access contracts entered into since July 1, 2001, and modified the terms of all other direct access contracts by requiring such contracts to terminate on their first anniversary date.  (Exhibit R at __.)  In addition, the Commission refused to enact the August 30 Alternate Draft Decision, including its request for hearings.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The Commission refused to hold hearings even though such hearings were requested by Commissioner Bilas in the August 30 Alternate Draft Decision (Exhibit B at __), by Petitioners in their Comments supporting the August 30 Alternate Draft Decision (Exhibits C at __ and D at __), and by almost every other party which submitted comments to the Commission.  (See Exhibits E at __, F at __, G at __, H at __, I at __, J at __, K at __, L at __, M at __, N at __, O at __, P at __, and Q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The Commission refused to stay implementation of its Order pending judicial review.</w:t>
      </w:r>
    </w:p>
    <w:p>
      <w:pPr>
        <w:pStyle w:val="Heading3"/>
        <w:tabs>
          <w:tab w:val="clear" w:pos="720"/>
          <w:tab w:val="left" w:pos="0" w:leader="none"/>
        </w:tabs>
        <w:ind w:hanging="720" w:start="720"/>
        <w:rPr/>
      </w:pPr>
      <w:r>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The issues presented in this Petition are whether the Commission acted in violation of the Constitutions of the United States and California, and in excess of its powers and in violation of law, by retroactively suspending certain direct access contracts and by modifying the terms of the remaining direct access contracts.  The Commission’s actions were unconstitutional, excessive and unlawful because: (a) its retroactive application violates the contract clauses in the California and United States Constitutions; (b) its Order has resulted in a taking of Petitioners’ property without compensation in violation of the California and United States Constitutions; (c) its actions have interfered with interstate commerce; (d) its actions denied fundamental due process because it refused to permit a hearing in violation of the California and United States Constitutions; and (e) it did not have authority under California law to issue an order with retroactive effect.</w:t>
      </w:r>
    </w:p>
    <w:p>
      <w:pPr>
        <w:pStyle w:val="Heading3"/>
        <w:tabs>
          <w:tab w:val="clear" w:pos="720"/>
          <w:tab w:val="left" w:pos="0" w:leader="none"/>
        </w:tabs>
        <w:ind w:hanging="720" w:start="720"/>
        <w:rPr/>
      </w:pPr>
      <w:r>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as an urgency measure.  This section provides that the California Supreme Court is the only California court with jurisdiction to review decisions by the Commission made pursuant to AB 1X.  The decision by the Commission was made pursuant to AB 1X because Section 80110 of the Water Code is part of AB 1X.  Petitioners have no other adequate remedy and will be irreparably harmed unless the relief sought in this Petition is granted.</w:t>
      </w:r>
    </w:p>
    <w:p>
      <w:pPr>
        <w:pStyle w:val="Heading3"/>
        <w:tabs>
          <w:tab w:val="clear" w:pos="720"/>
          <w:tab w:val="left" w:pos="0" w:leader="none"/>
        </w:tabs>
        <w:ind w:hanging="720" w:start="720"/>
        <w:rPr/>
      </w:pPr>
      <w:r>
        <w:rPr/>
        <w:t>Petitioners Request And Are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there is a stay.</w:t>
      </w:r>
    </w:p>
    <w:p>
      <w:pPr>
        <w:pStyle w:val="Body"/>
        <w:ind w:firstLine="630" w:end="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 xml:space="preserve">Petitioners request that this Court grant a temporary stay restraining the operation of the Commission’s Order because Petitioners will otherwise suffer irreparable loss or damage since: </w:t>
      </w:r>
    </w:p>
    <w:p>
      <w:pPr>
        <w:pStyle w:val="Heading4"/>
        <w:tabs>
          <w:tab w:val="clear" w:pos="720"/>
          <w:tab w:val="left" w:pos="0" w:leader="none"/>
        </w:tabs>
        <w:spacing w:before="120" w:after="0"/>
        <w:ind w:hanging="1440" w:start="2880" w:end="0"/>
        <w:rPr/>
      </w:pPr>
      <w:r>
        <w:rPr/>
        <w:t>Petitioner Enron will be required to refund all sums received pursuant to the suspended contracts, even though Petitioner Enron purchased and delivered the electricity required by the suspended contracts;</w:t>
      </w:r>
    </w:p>
    <w:p>
      <w:pPr>
        <w:pStyle w:val="Heading4"/>
        <w:widowControl/>
        <w:tabs>
          <w:tab w:val="clear" w:pos="720"/>
          <w:tab w:val="left" w:pos="0" w:leader="none"/>
        </w:tabs>
        <w:spacing w:before="120" w:after="0"/>
        <w:ind w:hanging="1440" w:start="2880" w:end="0"/>
        <w:rPr/>
      </w:pPr>
      <w:r>
        <w:rPr/>
        <w:t>Petitioner Enron will be subjected to a multiplicity of claims and lawsuits from its customers and suppliers because it will be unable to perform as required under the suspended contracts; and</w:t>
      </w:r>
    </w:p>
    <w:p>
      <w:pPr>
        <w:pStyle w:val="Heading4"/>
        <w:tabs>
          <w:tab w:val="clear" w:pos="720"/>
          <w:tab w:val="left" w:pos="0" w:leader="none"/>
        </w:tabs>
        <w:spacing w:before="120" w:after="0"/>
        <w:ind w:hanging="1440" w:start="2880" w:end="0"/>
        <w:rPr/>
      </w:pPr>
      <w:r>
        <w:rPr/>
        <w:t>Petitioners will lose the benefit of their direct access contracts and Petitioner Enron will lose its direct access customers and contracts if they are not allowed to perform as required under the suspended contracts.</w:t>
      </w:r>
    </w:p>
    <w:p>
      <w:pPr>
        <w:pStyle w:val="Normal"/>
        <w:rPr/>
      </w:pPr>
      <w:r>
        <w:rPr/>
      </w:r>
    </w:p>
    <w:p>
      <w:pPr>
        <w:pStyle w:val="Heading1"/>
        <w:tabs>
          <w:tab w:val="clear" w:pos="720"/>
          <w:tab w:val="left" w:pos="0" w:leader="none"/>
        </w:tabs>
        <w:ind w:hanging="720" w:start="1440"/>
        <w:rPr/>
      </w:pPr>
      <w:r>
        <w:rPr/>
        <w:t>PRAYER</w:t>
      </w:r>
    </w:p>
    <w:p>
      <w:pPr>
        <w:pStyle w:val="Body"/>
        <w:rPr>
          <w:rFonts w:ascii="Courier New" w:hAnsi="Courier New" w:eastAsia="Courier New" w:cs="Courier New"/>
        </w:rPr>
      </w:pPr>
      <w:r>
        <w:rPr>
          <w:rFonts w:eastAsia="Courier New" w:cs="Courier New" w:ascii="Courier New" w:hAnsi="Courier New"/>
        </w:rPr>
        <w:t>Petitioners University of California, California State University and Enron Energy Services, Inc., pray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Petitioners will suffer irreparable damage or loss unless an immediate stay is issued because:</w:t>
      </w:r>
    </w:p>
    <w:p>
      <w:pPr>
        <w:pStyle w:val="Heading4"/>
        <w:tabs>
          <w:tab w:val="clear" w:pos="720"/>
          <w:tab w:val="left" w:pos="0" w:leader="none"/>
        </w:tabs>
        <w:spacing w:before="0" w:after="120"/>
        <w:ind w:hanging="1440" w:start="2880" w:end="0"/>
        <w:rPr/>
      </w:pPr>
      <w:r>
        <w:rPr/>
        <w:t>Petitioner Enron will be required to return all sums received pursuant to the suspended contracts for electrical power Petitioner Enron purchased and delivered pursuant to the suspended contracts;</w:t>
      </w:r>
    </w:p>
    <w:p>
      <w:pPr>
        <w:pStyle w:val="Heading4"/>
        <w:tabs>
          <w:tab w:val="clear" w:pos="720"/>
          <w:tab w:val="left" w:pos="0" w:leader="none"/>
        </w:tabs>
        <w:spacing w:before="0" w:after="120"/>
        <w:ind w:hanging="1440" w:start="2880" w:end="0"/>
        <w:rPr/>
      </w:pPr>
      <w:r>
        <w:rPr/>
        <w:t>Petitioner Enron will be subjected to a multiplicity of claims and lawsuits from its customers and suppliers if it is unable to perform as required under the suspended contracts; and</w:t>
      </w:r>
    </w:p>
    <w:p>
      <w:pPr>
        <w:pStyle w:val="Heading4"/>
        <w:tabs>
          <w:tab w:val="clear" w:pos="720"/>
          <w:tab w:val="left" w:pos="0" w:leader="none"/>
        </w:tabs>
        <w:spacing w:before="120" w:after="0"/>
        <w:ind w:hanging="1440" w:start="2880" w:end="0"/>
        <w:rPr/>
      </w:pPr>
      <w:r>
        <w:rPr/>
        <w:t>Petitioners will lose the benefits of their direct access contracts and Petitioner Enron will lose its direct access customers, suppliers and contracts if they are not allowed to perform as required under the suspended contracts;</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an alternative writ directing Respondent Commission to set aside and vacate its Order of September ___,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___, 2001;</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 xml:space="preserve">Award Petitioners their costs pursuant to Rule 56.4 </w:t>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t>of the California Rules of Court; and</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LIN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720" w:start="1440"/>
        <w:rPr/>
      </w:pPr>
      <w:r>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Petitioners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720" w:start="720" w:end="0"/>
        <w:rPr/>
      </w:pPr>
      <w:r>
        <w:rPr/>
        <w:t>MEMORANDUM OF POINTS AND AUTHORITIES</w:t>
      </w:r>
    </w:p>
    <w:p>
      <w:pPr>
        <w:pStyle w:val="Heading2"/>
        <w:tabs>
          <w:tab w:val="clear" w:pos="720"/>
          <w:tab w:val="left" w:pos="0" w:leader="none"/>
        </w:tabs>
        <w:ind w:hanging="0" w:start="720"/>
        <w:rPr/>
      </w:pPr>
      <w:r>
        <w:rPr/>
        <w:br/>
        <w:t>WRIT RELIEF IS ESSENTIAL TO RESOLVE AN</w:t>
        <w:br/>
        <w:t>ISSUE OF URGENT STATEWIDE IMPORTANCE</w:t>
      </w:r>
    </w:p>
    <w:p>
      <w:pPr>
        <w:pStyle w:val="Body"/>
        <w:rPr>
          <w:rFonts w:ascii="Courier New" w:hAnsi="Courier New" w:eastAsia="Courier New" w:cs="Courier New"/>
        </w:rPr>
      </w:pPr>
      <w:r>
        <w:rPr>
          <w:rFonts w:eastAsia="Courier New" w:cs="Courier New" w:ascii="Courier New" w:hAnsi="Courier New"/>
        </w:rPr>
        <w:t>The issues presented by this Petition are whether the California Public Utilities Commission (the “Commission”) acted unconstitutionally, unlawfully and in excess of its authority when it enacted an Order which retroactively suspended certain existing direct access contracts and retroactively modified the terms of the other existing direct access contracts.</w:t>
      </w:r>
    </w:p>
    <w:p>
      <w:pPr>
        <w:pStyle w:val="Body"/>
        <w:rPr>
          <w:rFonts w:ascii="Courier New" w:hAnsi="Courier New" w:eastAsia="Courier New" w:cs="Courier New"/>
        </w:rPr>
      </w:pPr>
      <w:r>
        <w:rPr>
          <w:rFonts w:eastAsia="Courier New" w:cs="Courier New" w:ascii="Courier New" w:hAnsi="Courier New"/>
        </w:rPr>
        <w:t>In 1996, the Legislature enacted Section ____ of the Public Utilities Code authorizing Californians to purchase energy directly from energy service providers other than the utilities regulated by the Commission.  In response, a large number of energy service providers entered the California market.  These providers ranged from energy generating companies located outside of California to California companies providing energy derived from alternative sources such as wind, geothermal and solar.  As of July 31, 2001, Californians had more than 70,000 direct access contracts providing approximately 3.1% of the energy used in the State.</w:t>
      </w:r>
      <w:r>
        <w:rPr>
          <w:rStyle w:val="FootnoteCharacters"/>
          <w:rStyle w:val="FootnoteReference"/>
          <w:rFonts w:eastAsia="Courier New" w:cs="Courier New" w:ascii="Courier New" w:hAnsi="Courier New"/>
        </w:rPr>
        <w:footnoteReference w:id="5"/>
      </w:r>
    </w:p>
    <w:p>
      <w:pPr>
        <w:pStyle w:val="Body"/>
        <w:rPr>
          <w:rFonts w:ascii="Courier New" w:hAnsi="Courier New" w:eastAsia="Courier New" w:cs="Courier New"/>
        </w:rPr>
      </w:pPr>
      <w:r>
        <w:rPr>
          <w:rFonts w:eastAsia="Courier New" w:cs="Courier New" w:ascii="Courier New" w:hAnsi="Courier New"/>
        </w:rPr>
        <w:t>On February 1, 2001, as a consequence of the energy problems being experienced in California, AB 1X was enacted on an urgency basis. This comprehensive legislation concerned the acquisition and financing of energy by the State for the regulated utilities.  One section of the Legislation, codified in Section 80110 of the Water Code, involved the direct access program.  In pertinent part, this section provides: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rPr>
          <w:rFonts w:ascii="Courier New" w:hAnsi="Courier New" w:eastAsia="Courier New" w:cs="Courier New"/>
        </w:rPr>
      </w:pPr>
      <w:r>
        <w:rPr>
          <w:rFonts w:eastAsia="Courier New" w:cs="Courier New" w:ascii="Courier New" w:hAnsi="Courier New"/>
        </w:rPr>
        <w:t>The Legislature thus authorized the Commission to suspend the right of retail end use customers to acquire energy using direct access contracts.  Significantly, however, the Legislature did not impose a date by which the Commission was to act.  Rather, the Legislature left the determination of the effective date to the Commission.  The Legislature naturally assumed the Commission would use its long established hearing process to determine when, if ever, it would be necessary to discontinue direct access.  Moreover, the Legislature did not authorize the Commission to act retroactively.</w:t>
      </w:r>
    </w:p>
    <w:p>
      <w:pPr>
        <w:pStyle w:val="Body"/>
        <w:rPr>
          <w:rFonts w:ascii="Courier New" w:hAnsi="Courier New" w:eastAsia="Courier New" w:cs="Courier New"/>
        </w:rPr>
      </w:pPr>
      <w:r>
        <w:rPr>
          <w:rFonts w:eastAsia="Courier New" w:cs="Courier New" w:ascii="Courier New" w:hAnsi="Courier New"/>
        </w:rPr>
        <w:t>In response to AB 1X, the Commission was presented two basic proposals concerned with direct access.  The proposal ultimately enacted requires that all direct access contracts entered into from and after July 1, 2001, be suspended.  It further requires that all other direct access contracts be modified so that they terminate at the end of their first anniversary.  (Exhibit R at ____.)</w:t>
      </w:r>
    </w:p>
    <w:p>
      <w:pPr>
        <w:pStyle w:val="Body"/>
        <w:rPr>
          <w:rFonts w:ascii="Courier New" w:hAnsi="Courier New" w:eastAsia="Courier New" w:cs="Courier New"/>
        </w:rPr>
      </w:pPr>
      <w:r>
        <w:rPr>
          <w:rFonts w:eastAsia="Courier New" w:cs="Courier New" w:ascii="Courier New" w:hAnsi="Courier New"/>
        </w:rPr>
        <w:t xml:space="preserve">The Commission did not conduct hearings although such hearings had been requested by Commissioner Bilas (Exhibit B at ____) and by all those who supported his alternate proposal, including Petitioners.  Moreover, the Commission did not address whether its Order was consistent with the Constitutional prohibition precluding laws which retroactively affect contracts, did not consider whether its action violated the Constitutional prohibition barring the taking of property without compensation, did not consider whether its action violated the commerce clause in the United States Constitution, and failed to comport with the basic due process requirement of a hearing.  </w:t>
      </w:r>
    </w:p>
    <w:p>
      <w:pPr>
        <w:pStyle w:val="Body"/>
        <w:rPr>
          <w:rFonts w:ascii="Courier New" w:hAnsi="Courier New" w:eastAsia="Courier New" w:cs="Courier New"/>
        </w:rPr>
      </w:pPr>
      <w:r>
        <w:rPr>
          <w:rFonts w:eastAsia="Courier New" w:cs="Courier New" w:ascii="Courier New" w:hAnsi="Courier New"/>
        </w:rPr>
        <w:t xml:space="preserve">The Commission has no basis or justification for its abuses of these basic constitutional protections.  The Legislature empowered the Commission with authority to determine when, if ever, to suspend the right of retail customers to acquire service through direct access contracts.  The Legislature did not specify that the Commission had to act by a specific date and did not authorize the Commission to act retroactively.  Rather, the Legislature required the Commission to make a determination as to the appropriate date.  The Commission made its determination, but without providing those affected the basic due process right of a hearing, and then issued an Order adversely affecting interstate commerce in contravention of existing and vested property and contractual rights and in contravention of the authority conferred by the Legislature.  </w:t>
      </w:r>
    </w:p>
    <w:p>
      <w:pPr>
        <w:pStyle w:val="Normal"/>
        <w:spacing w:lineRule="exact" w:line="480"/>
        <w:ind w:firstLine="720" w:end="0"/>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THE ISSUES PRESENTED</w:t>
      </w:r>
    </w:p>
    <w:p>
      <w:pPr>
        <w:pStyle w:val="Body"/>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Does the Order of the Commission violate any right of the Petitioner under the Constitution of the United States or the California Constitution?  (Pub. Util. Code § 1751.1(a)(6).)</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Does the Order of the Commission violate the commerce clause in the United States Costitution? (Pub. Util. Code _ 1751.1(a)(6).)</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Did the Commission act without or in excess of its powers or jurisdiction?  (Pub. Util. Code § 1751.1(a)(3).)</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Was the Order of the Commission an abuse of discretion?  (Pub. Util. Code § 1751.1(a)(1).)</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Did the Commission proceed in the manner required by law?  (Pub. Util. Code § 1751(a)(2).)</w:t>
      </w:r>
    </w:p>
    <w:p>
      <w:pPr>
        <w:pStyle w:val="Body"/>
        <w:numPr>
          <w:ilvl w:val="0"/>
          <w:numId w:val="5"/>
        </w:numPr>
        <w:tabs>
          <w:tab w:val="clear" w:pos="720"/>
          <w:tab w:val="left" w:pos="0" w:leader="none"/>
        </w:tabs>
        <w:spacing w:before="0" w:after="120"/>
        <w:ind w:hanging="360" w:start="1440" w:end="0"/>
        <w:rPr>
          <w:rFonts w:ascii="Courier New" w:hAnsi="Courier New" w:eastAsia="Courier New" w:cs="Courier New"/>
        </w:rPr>
      </w:pPr>
      <w:r>
        <w:rPr>
          <w:rFonts w:eastAsia="Courier New" w:cs="Courier New" w:ascii="Courier New" w:hAnsi="Courier New"/>
        </w:rPr>
        <w:t>Is the decision of the Commission supported by the findings?  (Pub. Util. Code § 1751(a)(4).)</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THIS PETITION IS THE ONLY AVAILABLE REMEDY</w:t>
      </w:r>
    </w:p>
    <w:p>
      <w:pPr>
        <w:pStyle w:val="Body"/>
        <w:rPr>
          <w:rFonts w:ascii="Courier New" w:hAnsi="Courier New" w:eastAsia="Courier New" w:cs="Courier New"/>
        </w:rPr>
      </w:pPr>
      <w:r>
        <w:rPr>
          <w:rFonts w:eastAsia="Courier New" w:cs="Courier New" w:ascii="Courier New" w:hAnsi="Courier New"/>
        </w:rPr>
        <w:t>Unlike most proceedings, Petitioners do not have a right to appeal and do not have the right to seek redress in a lower court. The urgency legislation adopted on February 1, 2001, expressly conferred in the California Supreme Court exclusive and original jurisdiction for any review of an action by the Commission pursuant to AB 1X.  (Pub. Util. Code § 1768(a).</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THIS PETITION IS PROPERLY BEFORE THIS COURT</w:t>
      </w:r>
    </w:p>
    <w:p>
      <w:pPr>
        <w:pStyle w:val="Body"/>
        <w:rPr>
          <w:rFonts w:ascii="Courier New" w:hAnsi="Courier New" w:eastAsia="Courier New" w:cs="Courier New"/>
        </w:rPr>
      </w:pPr>
      <w:r>
        <w:rPr>
          <w:rFonts w:eastAsia="Courier New" w:cs="Courier New" w:ascii="Courier New" w:hAnsi="Courier New"/>
        </w:rPr>
        <w:t>This Petition is timely and properly before this Court.</w:t>
      </w:r>
    </w:p>
    <w:p>
      <w:pPr>
        <w:pStyle w:val="Body"/>
        <w:rPr>
          <w:rFonts w:ascii="Courier New" w:hAnsi="Courier New" w:eastAsia="Courier New" w:cs="Courier New"/>
        </w:rPr>
      </w:pPr>
      <w:r>
        <w:rPr>
          <w:rFonts w:eastAsia="Courier New" w:cs="Courier New" w:ascii="Courier New" w:hAnsi="Courier New"/>
        </w:rPr>
        <w:t>Section 1768(a) of the Public Utilities Code provides that a petition must be filed no later than thirty (30) days after the Commission has denied an application for rehearing.  Section 1768(a) does not require, however, that an aggrieved party seek rehearing before it is entitled to apply for a Writ of Review from this Court.  This Petition is timely because it was filed within thirty (30) days following the date the Order became effective.</w:t>
      </w:r>
      <w:r>
        <w:rPr>
          <w:rStyle w:val="FootnoteCharacters"/>
          <w:rStyle w:val="FootnoteReference"/>
          <w:rFonts w:eastAsia="Courier New" w:cs="Courier New" w:ascii="Courier New" w:hAnsi="Courier New"/>
        </w:rPr>
        <w:footnoteReference w:id="6"/>
      </w:r>
    </w:p>
    <w:p>
      <w:pPr>
        <w:pStyle w:val="Body"/>
        <w:rPr/>
      </w:pPr>
      <w:r>
        <w:rPr>
          <w:rFonts w:eastAsia="Courier New" w:cs="Courier New" w:ascii="Courier New" w:hAnsi="Courier New"/>
        </w:rPr>
        <w:t>Even if Section 1768(a) is interpreted to require an application for rehearing, such a condition would be of no force and effect when: (i) such an application would be futile (</w:t>
      </w:r>
      <w:r>
        <w:rPr>
          <w:rFonts w:eastAsia="Courier New" w:cs="Courier New" w:ascii="Courier New" w:hAnsi="Courier New"/>
          <w:i/>
          <w:iCs/>
        </w:rPr>
        <w:t>Ogo Associates v. City of Torrance</w:t>
      </w:r>
      <w:r>
        <w:rPr>
          <w:rFonts w:eastAsia="Courier New" w:cs="Courier New" w:ascii="Courier New" w:hAnsi="Courier New"/>
        </w:rPr>
        <w:t xml:space="preserve"> (1974) 37 Cal.App.3d 830, 834); or (ii) a rehearing would provide an inadequate or unavailable remedy (</w:t>
      </w:r>
      <w:r>
        <w:rPr>
          <w:rFonts w:eastAsia="Courier New" w:cs="Courier New" w:ascii="Courier New" w:hAnsi="Courier New"/>
          <w:i/>
          <w:iCs/>
        </w:rPr>
        <w:t>Endangered Habitats League, Inc. v. State Water Resources Control Board</w:t>
      </w:r>
      <w:r>
        <w:rPr>
          <w:rFonts w:eastAsia="Courier New" w:cs="Courier New" w:ascii="Courier New" w:hAnsi="Courier New"/>
        </w:rPr>
        <w:t xml:space="preserve"> (1998) 63 Cal.App.4</w:t>
      </w:r>
      <w:r>
        <w:rPr>
          <w:rFonts w:eastAsia="Courier New" w:cs="Courier New" w:ascii="Courier New" w:hAnsi="Courier New"/>
          <w:vertAlign w:val="superscript"/>
        </w:rPr>
        <w:t>th</w:t>
      </w:r>
      <w:r>
        <w:rPr>
          <w:rFonts w:eastAsia="Courier New" w:cs="Courier New" w:ascii="Courier New" w:hAnsi="Courier New"/>
        </w:rPr>
        <w:t xml:space="preserve"> 227, 237-38).</w:t>
      </w:r>
    </w:p>
    <w:p>
      <w:pPr>
        <w:pStyle w:val="Body"/>
        <w:rPr/>
      </w:pPr>
      <w:r>
        <w:rPr>
          <w:rFonts w:eastAsia="Courier New" w:cs="Courier New" w:ascii="Courier New" w:hAnsi="Courier New"/>
        </w:rPr>
        <w:t xml:space="preserve">In this case, a request for rehearing is futile and would provide an inadequate remedy.  First, a rehearing would be futile since the Commission rejected multiple requests for a hearing prior to the issuance of the Order.  </w:t>
      </w:r>
      <w:r>
        <w:rPr>
          <w:rFonts w:eastAsia="Courier New" w:cs="Courier New" w:ascii="Courier New" w:hAnsi="Courier New"/>
          <w:i/>
          <w:iCs/>
        </w:rPr>
        <w:t>Id.</w:t>
      </w:r>
      <w:r>
        <w:rPr>
          <w:rFonts w:eastAsia="Courier New" w:cs="Courier New" w:ascii="Courier New" w:hAnsi="Courier New"/>
        </w:rPr>
        <w:t xml:space="preserve">; </w:t>
      </w:r>
      <w:r>
        <w:rPr>
          <w:rFonts w:eastAsia="Courier New" w:cs="Courier New" w:ascii="Courier New" w:hAnsi="Courier New"/>
          <w:i/>
          <w:iCs/>
        </w:rPr>
        <w:t>Ogo Associates v. City of Torrance</w:t>
      </w:r>
      <w:r>
        <w:rPr>
          <w:rFonts w:eastAsia="Courier New" w:cs="Courier New" w:ascii="Courier New" w:hAnsi="Courier New"/>
        </w:rPr>
        <w:t xml:space="preserve">, </w:t>
      </w:r>
      <w:r>
        <w:rPr>
          <w:rFonts w:eastAsia="Courier New" w:cs="Courier New" w:ascii="Courier New" w:hAnsi="Courier New"/>
          <w:i/>
          <w:iCs/>
        </w:rPr>
        <w:t>supra</w:t>
      </w:r>
      <w:r>
        <w:rPr>
          <w:rFonts w:eastAsia="Courier New" w:cs="Courier New" w:ascii="Courier New" w:hAnsi="Courier New"/>
        </w:rPr>
        <w:t xml:space="preserve"> at 834.  Second, a rehearing would not provide an adequate remedy because the Order invalidating Petitioners’ direct access contracts will remain in force pending the outcome of such a rehearing because the Commission has denied Petitioners’ request for a stay pending rehearing.  Since there is no specified time by which the Commission is required to act on an application for a rehearing, and since the Commission has denied Petitioners’ request for a stay, rehearing provides an inadequate remedy because inaction and delay by the Commission will irreparably harm Petitioners.  </w:t>
      </w:r>
      <w:r>
        <w:rPr>
          <w:rFonts w:eastAsia="Courier New" w:cs="Courier New" w:ascii="Courier New" w:hAnsi="Courier New"/>
          <w:i/>
          <w:iCs/>
        </w:rPr>
        <w:t>Endangered Habitats League, Inc. v. State Water Resources Control Board, supra</w:t>
      </w:r>
      <w:r>
        <w:rPr>
          <w:rFonts w:eastAsia="Courier New" w:cs="Courier New" w:ascii="Courier New" w:hAnsi="Courier New"/>
        </w:rPr>
        <w:t xml:space="preserve"> at 237-38.</w:t>
      </w:r>
    </w:p>
    <w:p>
      <w:pPr>
        <w:pStyle w:val="Body"/>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Heading2"/>
        <w:tabs>
          <w:tab w:val="clear" w:pos="720"/>
          <w:tab w:val="left" w:pos="0" w:leader="none"/>
        </w:tabs>
        <w:ind w:hanging="0" w:start="720"/>
        <w:rPr/>
      </w:pPr>
      <w:r>
        <w:rPr/>
        <w:br/>
        <w:t>STANDARD OF REVIEW</w:t>
      </w:r>
    </w:p>
    <w:p>
      <w:pPr>
        <w:pStyle w:val="Body"/>
        <w:rPr>
          <w:rFonts w:ascii="Courier New" w:hAnsi="Courier New" w:eastAsia="Courier New" w:cs="Courier New"/>
        </w:rPr>
      </w:pPr>
      <w:r>
        <w:rPr>
          <w:rFonts w:eastAsia="Courier New" w:cs="Courier New" w:ascii="Courier New" w:hAnsi="Courier New"/>
        </w:rPr>
        <w:t>The standard of review depends on the issue.</w:t>
      </w:r>
    </w:p>
    <w:p>
      <w:pPr>
        <w:pStyle w:val="Body"/>
        <w:rPr/>
      </w:pPr>
      <w:r>
        <w:rPr>
          <w:rFonts w:eastAsia="Courier New" w:cs="Courier New" w:ascii="Courier New" w:hAnsi="Courier New"/>
        </w:rPr>
        <w:t xml:space="preserve">When the issue concerns the constitutionality of the Commission’s Order, the Supreme Court conducts a </w:t>
      </w:r>
      <w:r>
        <w:rPr>
          <w:rFonts w:eastAsia="Courier New" w:cs="Courier New" w:ascii="Courier New" w:hAnsi="Courier New"/>
          <w:i/>
          <w:iCs/>
        </w:rPr>
        <w:t>de novo</w:t>
      </w:r>
      <w:r>
        <w:rPr>
          <w:rFonts w:eastAsia="Courier New" w:cs="Courier New" w:ascii="Courier New" w:hAnsi="Courier New"/>
        </w:rPr>
        <w:t xml:space="preserve"> review as required by Section 1760 of the Public Utilities Code, which provides:</w:t>
      </w:r>
    </w:p>
    <w:p>
      <w:pPr>
        <w:pStyle w:val="Body"/>
        <w:rPr>
          <w:rFonts w:ascii="Courier New" w:hAnsi="Courier New" w:eastAsia="Courier New" w:cs="Courier New"/>
        </w:rPr>
      </w:pPr>
      <w:r>
        <w:rPr>
          <w:rFonts w:eastAsia="Courier New" w:cs="Courier New" w:ascii="Courier New" w:hAnsi="Courier New"/>
        </w:rPr>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[I]n any proceeding wherein the validity of any order or decision is challenged on the ground that it violates any right of petitioner under the United States Constitution or the California Constitution, the Supreme Court . . .shall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shall not be final.”  [Emphasis added.]</w:t>
      </w:r>
    </w:p>
    <w:p>
      <w:pPr>
        <w:pStyle w:val="Body"/>
        <w:rPr>
          <w:rFonts w:ascii="Courier New" w:hAnsi="Courier New" w:eastAsia="Courier New" w:cs="Courier New"/>
        </w:rPr>
      </w:pPr>
      <w:r>
        <w:rPr>
          <w:rFonts w:eastAsia="Courier New" w:cs="Courier New" w:ascii="Courier New" w:hAnsi="Courier New"/>
        </w:rPr>
        <w:t>For all other issues, the standard of review is whether there is substantial evidence in the Commission’s record to support its conduct.</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ARGUMENT</w:t>
      </w:r>
    </w:p>
    <w:p>
      <w:pPr>
        <w:pStyle w:val="Heading3"/>
        <w:tabs>
          <w:tab w:val="clear" w:pos="720"/>
          <w:tab w:val="left" w:pos="0" w:leader="none"/>
        </w:tabs>
        <w:ind w:hanging="720" w:start="720"/>
        <w:rPr/>
      </w:pPr>
      <w:r>
        <w:rPr/>
        <w:t>The Commission Violated Petitioners’ Rights Under The United States And The California Constitutions.</w:t>
      </w:r>
    </w:p>
    <w:p>
      <w:pPr>
        <w:pStyle w:val="Heading5"/>
        <w:tabs>
          <w:tab w:val="clear" w:pos="720"/>
          <w:tab w:val="left" w:pos="0" w:leader="none"/>
        </w:tabs>
        <w:ind w:hanging="1440" w:start="2160" w:end="0"/>
        <w:rPr/>
      </w:pPr>
      <w:bookmarkStart w:id="3" w:name="bkCheck1"/>
      <w:bookmarkStart w:id="4" w:name="bkReturn"/>
      <w:bookmarkStart w:id="5" w:name="bkCheck2"/>
      <w:bookmarkStart w:id="6" w:name="bkGoback"/>
      <w:bookmarkEnd w:id="3"/>
      <w:bookmarkEnd w:id="4"/>
      <w:bookmarkEnd w:id="5"/>
      <w:bookmarkEnd w:id="6"/>
      <w:r>
        <w:rPr/>
        <w:t>The Commission Violated the Contract Clause.</w:t>
      </w:r>
    </w:p>
    <w:p>
      <w:pPr>
        <w:pStyle w:val="Body"/>
        <w:rPr>
          <w:rFonts w:ascii="Courier New" w:hAnsi="Courier New" w:eastAsia="Courier New" w:cs="Courier New"/>
        </w:rPr>
      </w:pPr>
      <w:bookmarkStart w:id="7" w:name="bkCheck2"/>
      <w:bookmarkEnd w:id="7"/>
      <w:r>
        <w:rPr>
          <w:rFonts w:eastAsia="Courier New" w:cs="Courier New" w:ascii="Courier New" w:hAnsi="Courier New"/>
        </w:rPr>
        <w:t>Both the California and the United States Constitutions contain provisions which bar the government from enacting provisions which impair contracts.  In pertinent part, Article I, Section 10 of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State . . . shall . . . pass any . . . Law impairing the Obligation of Contracts . . ..”</w:t>
      </w:r>
    </w:p>
    <w:p>
      <w:pPr>
        <w:pStyle w:val="Body"/>
        <w:ind w:hanging="0" w:end="0"/>
        <w:rPr>
          <w:rFonts w:ascii="Courier New" w:hAnsi="Courier New" w:eastAsia="Courier New" w:cs="Courier New"/>
        </w:rPr>
      </w:pPr>
      <w:r>
        <w:rPr>
          <w:rFonts w:eastAsia="Courier New" w:cs="Courier New" w:ascii="Courier New" w:hAnsi="Courier New"/>
        </w:rPr>
        <w:t>The California Constitution similarly provides in Article 1, Section 9:</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 . . law impairing the obligation of contracts may not be passed.”</w:t>
      </w:r>
    </w:p>
    <w:p>
      <w:pPr>
        <w:pStyle w:val="Body"/>
        <w:rPr/>
      </w:pPr>
      <w:r>
        <w:rPr>
          <w:rFonts w:eastAsia="Courier New" w:cs="Courier New" w:ascii="Courier New" w:hAnsi="Courier New"/>
        </w:rPr>
        <w:t xml:space="preserve">The cases interpreting each constitutional mandate have substantially the same requirements.  As set forth in </w:t>
      </w:r>
      <w:r>
        <w:rPr>
          <w:rFonts w:eastAsia="Courier New" w:cs="Courier New" w:ascii="Courier New" w:hAnsi="Courier New"/>
          <w:i/>
          <w:iCs/>
        </w:rPr>
        <w:t>General Motors Corporation v. Romein</w:t>
      </w:r>
      <w:r>
        <w:rPr>
          <w:rFonts w:eastAsia="Courier New" w:cs="Courier New" w:ascii="Courier New" w:hAnsi="Courier New"/>
        </w:rPr>
        <w:t>, 503 U.S. 181 (1992), at page 186:</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This inquiry has three components: whether there is a contractual relationship, whether a change in law impairs that contractual relationship, and whether the impairment is substantial.”</w:t>
      </w:r>
    </w:p>
    <w:p>
      <w:pPr>
        <w:pStyle w:val="Body"/>
        <w:rPr/>
      </w:pPr>
      <w:r>
        <w:rPr>
          <w:rFonts w:eastAsia="Courier New" w:cs="Courier New" w:ascii="Courier New" w:hAnsi="Courier New"/>
        </w:rPr>
        <w:t xml:space="preserve">In order to establish a violation of this constitutional prohibition, it is necessary to demonstrate that “a change in state law has ‘operated as a substantial impairment of a contractual relationship.’”  </w:t>
      </w:r>
      <w:r>
        <w:rPr>
          <w:rFonts w:eastAsia="Courier New" w:cs="Courier New" w:ascii="Courier New" w:hAnsi="Courier New"/>
          <w:i/>
          <w:iCs/>
        </w:rPr>
        <w:t>Id.</w:t>
      </w:r>
      <w:r>
        <w:rPr>
          <w:rFonts w:eastAsia="Courier New" w:cs="Courier New" w:ascii="Courier New" w:hAnsi="Courier New"/>
        </w:rPr>
        <w:t xml:space="preserve">, quoting </w:t>
      </w:r>
      <w:r>
        <w:rPr>
          <w:rFonts w:eastAsia="Courier New" w:cs="Courier New" w:ascii="Courier New" w:hAnsi="Courier New"/>
          <w:i/>
          <w:iCs/>
        </w:rPr>
        <w:t>Allied Structural Steel Co. v. Spannous</w:t>
      </w:r>
      <w:r>
        <w:rPr>
          <w:rFonts w:eastAsia="Courier New" w:cs="Courier New" w:ascii="Courier New" w:hAnsi="Courier New"/>
        </w:rPr>
        <w:t>, 438 U.S. 234, 244 (1978).</w:t>
      </w:r>
    </w:p>
    <w:p>
      <w:pPr>
        <w:pStyle w:val="Heading6"/>
        <w:tabs>
          <w:tab w:val="clear" w:pos="720"/>
          <w:tab w:val="left" w:pos="0" w:leader="none"/>
        </w:tabs>
        <w:ind w:hanging="1440" w:start="2880" w:end="0"/>
        <w:rPr/>
      </w:pPr>
      <w:r>
        <w:rPr/>
        <w:t>The Existence Of Contractual Relationship Is Undisputed.</w:t>
      </w:r>
    </w:p>
    <w:p>
      <w:pPr>
        <w:pStyle w:val="Body"/>
        <w:rPr>
          <w:rFonts w:ascii="Courier New" w:hAnsi="Courier New" w:eastAsia="Courier New" w:cs="Courier New"/>
        </w:rPr>
      </w:pPr>
      <w:r>
        <w:rPr>
          <w:rFonts w:eastAsia="Courier New" w:cs="Courier New" w:ascii="Courier New" w:hAnsi="Courier New"/>
        </w:rPr>
        <w:t>There is no dispute that the Commission intended to limit existing contractual relationships.  The Commission’s Order recognizes by its choice of a retroactive date that there are existing contractual relationships between retail customers and energy service providers such as Petitioners.  Indeed, the entire object of the Commission was to interfere with those contracts so consumers would be compelled to obtain energy from the regulated utilities at higher prices.  This issue must be resolved in favor of Petitioners.</w:t>
      </w:r>
    </w:p>
    <w:p>
      <w:pPr>
        <w:pStyle w:val="Heading6"/>
        <w:tabs>
          <w:tab w:val="clear" w:pos="720"/>
          <w:tab w:val="left" w:pos="0" w:leader="none"/>
        </w:tabs>
        <w:ind w:hanging="1440" w:start="2880" w:end="0"/>
        <w:rPr/>
      </w:pPr>
      <w:r>
        <w:rPr/>
        <w:t>The Order Impairs Existing Contractual Relationships.</w:t>
      </w:r>
    </w:p>
    <w:p>
      <w:pPr>
        <w:pStyle w:val="Body"/>
        <w:rPr>
          <w:rFonts w:ascii="Courier New" w:hAnsi="Courier New" w:eastAsia="Courier New" w:cs="Courier New"/>
        </w:rPr>
      </w:pPr>
      <w:r>
        <w:rPr>
          <w:rFonts w:eastAsia="Courier New" w:cs="Courier New" w:ascii="Courier New" w:hAnsi="Courier New"/>
        </w:rPr>
        <w:t>The next question is whether the Order impairs contractual relationships.  Again, there is no dispute; the Commission’s Order is intended to impair and does impair contracts by suspending certain contracts that predate the Order and by changing a material term in the other contracts which also predate the Order.  This issue must be resolved in favor of Petitioners.</w:t>
      </w:r>
    </w:p>
    <w:p>
      <w:pPr>
        <w:pStyle w:val="Heading6"/>
        <w:tabs>
          <w:tab w:val="clear" w:pos="720"/>
          <w:tab w:val="left" w:pos="0" w:leader="none"/>
        </w:tabs>
        <w:ind w:hanging="1440" w:start="2880" w:end="0"/>
        <w:rPr/>
      </w:pPr>
      <w:r>
        <w:rPr/>
        <w:t>There Has Been A Substantial Impairment.</w:t>
      </w:r>
    </w:p>
    <w:p>
      <w:pPr>
        <w:pStyle w:val="Body"/>
        <w:rPr>
          <w:rFonts w:ascii="Courier New" w:hAnsi="Courier New" w:eastAsia="Courier New" w:cs="Courier New"/>
        </w:rPr>
      </w:pPr>
      <w:r>
        <w:rPr>
          <w:rFonts w:eastAsia="Courier New" w:cs="Courier New" w:ascii="Courier New" w:hAnsi="Courier New"/>
        </w:rPr>
        <w:t>The next question is whether there has been a “substantial impairment.”  Here, the contracts have either been suspended for an indefinite period or they have been modified to terminate early.  Such impairments necessarily are substantial.  This issue must be resolved in favor of Petitioners.</w:t>
      </w:r>
    </w:p>
    <w:p>
      <w:pPr>
        <w:pStyle w:val="Heading6"/>
        <w:tabs>
          <w:tab w:val="clear" w:pos="720"/>
          <w:tab w:val="left" w:pos="0" w:leader="none"/>
        </w:tabs>
        <w:ind w:hanging="1440" w:start="2880" w:end="0"/>
        <w:rPr/>
      </w:pPr>
      <w:r>
        <w:rPr/>
        <w:t>There Is No Significant Or Legitimate Public Purpose.</w:t>
      </w:r>
    </w:p>
    <w:p>
      <w:pPr>
        <w:pStyle w:val="Body"/>
        <w:rPr>
          <w:rFonts w:ascii="Courier New" w:hAnsi="Courier New" w:eastAsia="Courier New" w:cs="Courier New"/>
        </w:rPr>
      </w:pPr>
      <w:r>
        <w:rPr>
          <w:rFonts w:eastAsia="Courier New" w:cs="Courier New" w:ascii="Courier New" w:hAnsi="Courier New"/>
        </w:rPr>
        <w:t xml:space="preserve">Even when the impairment of a contractual obligation is substantial, there is no constitutional infringement if the State had a “significant and legitimate public purpose.” </w:t>
      </w:r>
    </w:p>
    <w:p>
      <w:pPr>
        <w:pStyle w:val="Body"/>
        <w:rPr>
          <w:rFonts w:ascii="Courier New" w:hAnsi="Courier New" w:eastAsia="Courier New" w:cs="Courier New"/>
        </w:rPr>
      </w:pPr>
      <w:r>
        <w:rPr>
          <w:rFonts w:eastAsia="Courier New" w:cs="Courier New" w:ascii="Courier New" w:hAnsi="Courier New"/>
        </w:rPr>
        <w:t xml:space="preserve">The Commission decided that the direct access purchase of power must be suspended and that direct access users must instead be forced to purchase power from the regulated utilities so the State can sell and repay the bonds it intends to issue to pay for the power the regulated utilities will sell.  The Commission has decided that it is necessary to increase revenues by the amount the utilities will receive from direct access users to pay the bonds necessary to fund the purchase of power by these same utilities.  The Commission has failed to consider, however, that the incremental costs and debt attributable to the power demands of direct access customers can be avoided by allowing them to obtain power pursuant to their direct access contracts.  The Commission’s justification is flawed because the State would not need the direct access revenues because there would be no incremental costs so long as power is obtained by means of the direct access contracts.  Moreover, as noted by Commissioner Bilas, hearings were needed to examine alternatives to the retroactive impairment of the contracts in order to determine the most appropriate way to proceed.  </w:t>
      </w:r>
    </w:p>
    <w:p>
      <w:pPr>
        <w:pStyle w:val="Body"/>
        <w:rPr>
          <w:rFonts w:ascii="Courier New" w:hAnsi="Courier New" w:eastAsia="Courier New" w:cs="Courier New"/>
        </w:rPr>
      </w:pPr>
      <w:r>
        <w:rPr>
          <w:rFonts w:eastAsia="Courier New" w:cs="Courier New" w:ascii="Courier New" w:hAnsi="Courier New"/>
        </w:rPr>
        <w:t xml:space="preserve">The Commission’s rationale that the revenues received by the regulated utilities must be maximized is belied by the State sponsored conservation program which has caused a far greater revenue decline than direct access.  The Commission’s claim of legitimate public purpose is undercut by its conservation program because conservation and direct access have the same impact. Both reduce the demand for State funded power and both reduce the amount which the State must borrow to acquire power.  </w:t>
      </w:r>
    </w:p>
    <w:p>
      <w:pPr>
        <w:pStyle w:val="Body"/>
        <w:rPr>
          <w:rFonts w:ascii="Courier New" w:hAnsi="Courier New" w:eastAsia="Courier New" w:cs="Courier New"/>
        </w:rPr>
      </w:pPr>
      <w:r>
        <w:rPr>
          <w:rFonts w:eastAsia="Courier New" w:cs="Courier New" w:ascii="Courier New" w:hAnsi="Courier New"/>
        </w:rPr>
        <w:t>The Commission’s claimed public purpose is a fiction.  The only reason the State must raise revenues related to direct access is to pay for the increased power necessary to replace direct access.  If the State belies that the revenues outweigh the costs, then it should do away with programs like conservation which also reduce revenue.  The Commission’s inconsistency demonstrates that it rationale is contrived.</w:t>
      </w:r>
    </w:p>
    <w:p>
      <w:pPr>
        <w:pStyle w:val="Heading6"/>
        <w:tabs>
          <w:tab w:val="clear" w:pos="720"/>
          <w:tab w:val="left" w:pos="0" w:leader="none"/>
        </w:tabs>
        <w:ind w:hanging="1440" w:start="2880" w:end="0"/>
        <w:rPr/>
      </w:pPr>
      <w:r>
        <w:rPr/>
        <w:t>The Impairment Ordered By The Commission Is Not Reasonable And Appropriate.</w:t>
      </w:r>
    </w:p>
    <w:p>
      <w:pPr>
        <w:pStyle w:val="Body"/>
        <w:rPr/>
      </w:pPr>
      <w:r>
        <w:rPr>
          <w:rFonts w:eastAsia="Courier New" w:cs="Courier New" w:ascii="Courier New" w:hAnsi="Courier New"/>
        </w:rPr>
        <w:t xml:space="preserve">Even if the Commission had a significant and legitimate public purpose, it nevertheless acted in violation of the Constitution because the impairment of contracts ordered by the Commission is not “based upon reasonable conditions” and is not "of a character appropriate to the public purpose justifying the legislation’s adoption.”  </w:t>
      </w:r>
      <w:r>
        <w:rPr>
          <w:rFonts w:eastAsia="Courier New" w:cs="Courier New" w:ascii="Courier New" w:hAnsi="Courier New"/>
          <w:i/>
          <w:iCs/>
        </w:rPr>
        <w:t>Energy Reserves Group, Inc. v. Kansas Power &amp; Light Co.</w:t>
      </w:r>
      <w:r>
        <w:rPr>
          <w:rFonts w:eastAsia="Courier New" w:cs="Courier New" w:ascii="Courier New" w:hAnsi="Courier New"/>
        </w:rPr>
        <w:t>, 459 U.S. 400, 411-12 (1983).  The Commission’s record does not show that the impairment is reasonable and appropriate because it refused to allow hearings.  Moreover, the minimal record compiled by the Commission demonstrates that the State’s ability to repay the bonds will not be affected by revenues paid on existing direct access contracts.  Those revenues are a small part of the energy market (3.1%) and are outweighed by other State mandated programs such as conservation and private investment by retail users in their own generating facilities. Direct access users do not require the State to incur debt to acquire power; direct access contracts in fact benefit California by reducing the need to incur debt to finance power purchases.</w:t>
      </w:r>
    </w:p>
    <w:p>
      <w:pPr>
        <w:pStyle w:val="Body"/>
        <w:rPr>
          <w:rFonts w:ascii="Courier New" w:hAnsi="Courier New" w:eastAsia="Courier New" w:cs="Courier New"/>
        </w:rPr>
      </w:pPr>
      <w:r>
        <w:rPr>
          <w:rFonts w:eastAsia="Courier New" w:cs="Courier New" w:ascii="Courier New" w:hAnsi="Courier New"/>
        </w:rPr>
        <w:t>The Commission’s true motive and purpose is revealed by the rhetoric and name calling directed at out-of-state energy companies.  But even in California name calling does not justify an unconstitutional interference with contracts.</w:t>
      </w:r>
    </w:p>
    <w:p>
      <w:pPr>
        <w:pStyle w:val="Body"/>
        <w:rPr>
          <w:rFonts w:ascii="Courier New" w:hAnsi="Courier New" w:eastAsia="Courier New" w:cs="Courier New"/>
        </w:rPr>
      </w:pPr>
      <w:r>
        <w:rPr>
          <w:rFonts w:eastAsia="Courier New" w:cs="Courier New" w:ascii="Courier New" w:hAnsi="Courier New"/>
        </w:rPr>
        <w:t>The Order is an unconstitutional interference with contracts and must not be allowed to stand.</w:t>
      </w:r>
    </w:p>
    <w:p>
      <w:pPr>
        <w:pStyle w:val="Body"/>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Commission’s Order Is an Unconstitutional Taking</w:t>
      </w:r>
    </w:p>
    <w:p>
      <w:pPr>
        <w:pStyle w:val="Body"/>
        <w:rPr>
          <w:rFonts w:ascii="Courier New" w:hAnsi="Courier New" w:eastAsia="Courier New" w:cs="Courier New"/>
        </w:rPr>
      </w:pPr>
      <w:r>
        <w:rPr>
          <w:rFonts w:eastAsia="Courier New" w:cs="Courier New" w:ascii="Courier New" w:hAnsi="Courier New"/>
        </w:rPr>
        <w:t>The Fifth Amendment to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nor shall private property be taken for public use, without just compensation.”</w:t>
      </w:r>
    </w:p>
    <w:p>
      <w:pPr>
        <w:pStyle w:val="Body"/>
        <w:ind w:hanging="0" w:end="0"/>
        <w:rPr>
          <w:rFonts w:ascii="Courier New" w:hAnsi="Courier New" w:eastAsia="Courier New" w:cs="Courier New"/>
        </w:rPr>
      </w:pPr>
      <w:r>
        <w:rPr>
          <w:rFonts w:eastAsia="Courier New" w:cs="Courier New" w:ascii="Courier New" w:hAnsi="Courier New"/>
        </w:rPr>
        <w:t>Section 1 of the Fourteenth Amendment imposes this limitation on the States.</w:t>
      </w:r>
    </w:p>
    <w:p>
      <w:pPr>
        <w:pStyle w:val="Body"/>
        <w:rPr>
          <w:rFonts w:ascii="Courier New" w:hAnsi="Courier New" w:eastAsia="Courier New" w:cs="Courier New"/>
        </w:rPr>
      </w:pPr>
      <w:r>
        <w:rPr>
          <w:rFonts w:eastAsia="Courier New" w:cs="Courier New" w:ascii="Courier New" w:hAnsi="Courier New"/>
        </w:rPr>
        <w:t>Article 1, Section 19 of the California Constitution is similar:</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Private property may be taken or damaged for public use only when just compensation . . . has first been paid to . . . the owner.”</w:t>
      </w:r>
    </w:p>
    <w:p>
      <w:pPr>
        <w:pStyle w:val="Heading6"/>
        <w:tabs>
          <w:tab w:val="clear" w:pos="720"/>
          <w:tab w:val="left" w:pos="0" w:leader="none"/>
        </w:tabs>
        <w:ind w:hanging="1440" w:start="2880" w:end="0"/>
        <w:rPr/>
      </w:pPr>
      <w:r>
        <w:rPr/>
        <w:t>Existing Direct Access Contracts Are Protected Property.</w:t>
      </w:r>
    </w:p>
    <w:p>
      <w:pPr>
        <w:pStyle w:val="Body"/>
        <w:rPr>
          <w:rFonts w:ascii="Courier New" w:hAnsi="Courier New" w:eastAsia="Courier New" w:cs="Courier New"/>
        </w:rPr>
      </w:pPr>
      <w:r>
        <w:rPr>
          <w:rFonts w:eastAsia="Courier New" w:cs="Courier New" w:ascii="Courier New" w:hAnsi="Courier New"/>
        </w:rPr>
        <w:t>An existing contract is a form of property entitled to constitutional protection.  Action by the State which damages this property interest is unconstitutional when there is no just compensation.</w:t>
      </w:r>
    </w:p>
    <w:p>
      <w:pPr>
        <w:pStyle w:val="Heading6"/>
        <w:tabs>
          <w:tab w:val="clear" w:pos="720"/>
          <w:tab w:val="left" w:pos="0" w:leader="none"/>
        </w:tabs>
        <w:ind w:hanging="1440" w:start="2880" w:end="0"/>
        <w:rPr/>
      </w:pPr>
      <w:r>
        <w:rPr/>
        <w:t>Protected Property Has Been Damaged.</w:t>
      </w:r>
    </w:p>
    <w:p>
      <w:pPr>
        <w:pStyle w:val="Body"/>
        <w:rPr>
          <w:rFonts w:ascii="Courier New" w:hAnsi="Courier New" w:eastAsia="Courier New" w:cs="Courier New"/>
        </w:rPr>
      </w:pPr>
      <w:r>
        <w:rPr>
          <w:rFonts w:eastAsia="Courier New" w:cs="Courier New" w:ascii="Courier New" w:hAnsi="Courier New"/>
        </w:rPr>
        <w:t>The Order of the Commission has damaged the property of California residents purchasing direct access energy and the direct access providers, such as Petitioners who buy and sale the energy.</w:t>
      </w:r>
    </w:p>
    <w:p>
      <w:pPr>
        <w:pStyle w:val="Body"/>
        <w:ind w:firstLine="1440" w:end="0"/>
        <w:rPr>
          <w:rFonts w:ascii="Courier New" w:hAnsi="Courier New" w:eastAsia="Courier New" w:cs="Courier New"/>
        </w:rPr>
      </w:pPr>
      <w:r>
        <w:rPr>
          <w:rFonts w:eastAsia="Courier New" w:cs="Courier New" w:ascii="Courier New" w:hAnsi="Courier New"/>
        </w:rPr>
        <w:t>California residents who purchased direct access power now have to pay higher prices for State provided energy obtained from the regulated utilities.  Their property has thus been taken without any compensation.  The reasonable compensation to which they should be entitled is the difference between the cost of energy from the regulated utilities and the cost of energy from direct access contracts.  Since there has been no attempt to calculate and no offer to pay this loss, the Commission’s Order violates the “takings” clause.</w:t>
      </w:r>
    </w:p>
    <w:p>
      <w:pPr>
        <w:pStyle w:val="Body"/>
        <w:ind w:firstLine="1440" w:end="0"/>
        <w:rPr>
          <w:rFonts w:ascii="Courier New" w:hAnsi="Courier New" w:eastAsia="Courier New" w:cs="Courier New"/>
        </w:rPr>
      </w:pPr>
      <w:r>
        <w:rPr>
          <w:rFonts w:eastAsia="Courier New" w:cs="Courier New" w:ascii="Courier New" w:hAnsi="Courier New"/>
        </w:rPr>
        <w:t>The direct access energy providers have experienced three different types of loss.  First, under the Order, the post-July 1 contracts are suspended  so the providers are not entitled to retain the proceeds for power sold on and after July 1, 2001.  Second, the providers are now deprived of the prospective revenues they would have received on the post-July 1 contracts.  Finally, all pre-July 1 contracts will now be terminated after their first anniversary and the providers will lose the future revenues from those contracts.  Since there has been no attempt to calculate and no offer pay this loss, the Commission’s Order violates the “takings” clause.</w:t>
      </w:r>
    </w:p>
    <w:p>
      <w:pPr>
        <w:pStyle w:val="Body"/>
        <w:ind w:firstLine="2160" w:end="0"/>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 Violated Petitioners’ Due Process Rights</w:t>
      </w:r>
    </w:p>
    <w:p>
      <w:pPr>
        <w:pStyle w:val="Body"/>
        <w:rPr>
          <w:rFonts w:ascii="Courier New" w:hAnsi="Courier New" w:eastAsia="Courier New" w:cs="Courier New"/>
        </w:rPr>
      </w:pPr>
      <w:r>
        <w:rPr>
          <w:rFonts w:eastAsia="Courier New" w:cs="Courier New" w:ascii="Courier New" w:hAnsi="Courier New"/>
        </w:rPr>
        <w:t>Notwithstanding the request by Commissioner Bilas and all those (including Petitioners) who supported the August 30 Alternate Draft Decision, the Commission refused to conduct hearings.  Instead, the Commission adopted the August 27 Draft Decision which stated:</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[W]e do not intend to hold evidentiary hearings . . ..”</w:t>
      </w:r>
    </w:p>
    <w:p>
      <w:pPr>
        <w:pStyle w:val="Body"/>
        <w:ind w:hanging="0" w:end="0"/>
        <w:rPr>
          <w:rFonts w:ascii="Courier New" w:hAnsi="Courier New" w:eastAsia="Courier New" w:cs="Courier New"/>
        </w:rPr>
      </w:pPr>
      <w:r>
        <w:rPr>
          <w:rFonts w:eastAsia="Courier New" w:cs="Courier New" w:ascii="Courier New" w:hAnsi="Courier New"/>
        </w:rPr>
        <w:t>This tactic violated due process and thus renders the Order unconstitutional.</w:t>
      </w:r>
    </w:p>
    <w:p>
      <w:pPr>
        <w:pStyle w:val="Body"/>
        <w:rPr>
          <w:rFonts w:ascii="Courier New" w:hAnsi="Courier New" w:eastAsia="Courier New" w:cs="Courier New"/>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rPr>
          <w:rFonts w:ascii="Courier New" w:hAnsi="Courier New" w:eastAsia="Courier New" w:cs="Courier New"/>
        </w:rPr>
      </w:pPr>
      <w:r>
        <w:rPr>
          <w:rFonts w:eastAsia="Courier New" w:cs="Courier New" w:ascii="Courier New" w:hAnsi="Courier New"/>
        </w:rPr>
        <w:t>Article 1, Section 7(a) of the California Constitution similarly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rPr/>
      </w:pPr>
      <w:r>
        <w:rPr>
          <w:rFonts w:eastAsia="Courier New" w:cs="Courier New" w:ascii="Courier New" w:hAnsi="Courier New"/>
        </w:rPr>
        <w:t xml:space="preserve">Administrative agencies such as the Commission are subject to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___.  This includes the opportunity for a hearing.  When such an opportunity is not made available, it is a denial of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___.  Since it is undisputed the Commission refused to conduct a hearing, notwithstanding requests by Commissioner Bilas, Petitioners and others, the Order is unconstitutional.</w:t>
      </w:r>
    </w:p>
    <w:p>
      <w:pPr>
        <w:pStyle w:val="Heading3"/>
        <w:tabs>
          <w:tab w:val="clear" w:pos="720"/>
          <w:tab w:val="left" w:pos="0" w:leader="none"/>
        </w:tabs>
        <w:ind w:hanging="720" w:start="720"/>
        <w:rPr/>
      </w:pPr>
      <w:r>
        <w:rPr/>
        <w:t>The Commission’s Order Violates The Commerce Clause</w:t>
      </w:r>
    </w:p>
    <w:p>
      <w:pPr>
        <w:pStyle w:val="TableofAuthorities"/>
        <w:rPr/>
      </w:pPr>
      <w:r>
        <w:rPr/>
      </w:r>
    </w:p>
    <w:p>
      <w:pPr>
        <w:pStyle w:val="Normal"/>
        <w:rPr/>
      </w:pPr>
      <w:r>
        <w:rPr/>
        <w:tab/>
      </w:r>
      <w:r>
        <w:rPr>
          <w:rFonts w:eastAsia="Courier New" w:cs="Courier New" w:ascii="Courier New" w:hAnsi="Courier New"/>
        </w:rPr>
        <w:t xml:space="preserve">Petitioner Enron and most of the other energy providers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obtained and transported power to California’s direct access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customers through interstate commerce.  The commerce clause in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the United States Constitution, Section 8 of Article I,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provides:</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ab/>
        <w:tab/>
        <w:tab/>
        <w:t>“The Congress shall have Power . . .[t]o</w:t>
      </w:r>
    </w:p>
    <w:p>
      <w:pPr>
        <w:pStyle w:val="Normal"/>
        <w:rPr>
          <w:rFonts w:ascii="Courier New" w:hAnsi="Courier New" w:eastAsia="Courier New" w:cs="Courier New"/>
        </w:rPr>
      </w:pPr>
      <w:r>
        <w:rPr>
          <w:rFonts w:eastAsia="Courier New" w:cs="Courier New" w:ascii="Courier New" w:hAnsi="Courier New"/>
        </w:rPr>
        <w:tab/>
        <w:tab/>
        <w:tab/>
        <w:t xml:space="preserve"> regulate Commerce . . .among the several</w:t>
      </w:r>
    </w:p>
    <w:p>
      <w:pPr>
        <w:pStyle w:val="Normal"/>
        <w:rPr>
          <w:rFonts w:ascii="Courier New" w:hAnsi="Courier New" w:eastAsia="Courier New" w:cs="Courier New"/>
        </w:rPr>
      </w:pPr>
      <w:r>
        <w:rPr>
          <w:rFonts w:eastAsia="Courier New" w:cs="Courier New" w:ascii="Courier New" w:hAnsi="Courier New"/>
        </w:rPr>
        <w:tab/>
        <w:tab/>
        <w:tab/>
        <w:t xml:space="preserve"> States . . ..”</w:t>
      </w:r>
    </w:p>
    <w:p>
      <w:pPr>
        <w:pStyle w:val="Normal"/>
        <w:spacing w:lineRule="exact" w:line="480"/>
        <w:ind w:firstLine="720" w:end="0"/>
        <w:rPr/>
      </w:pPr>
      <w:r>
        <w:rPr>
          <w:rFonts w:eastAsia="Courier New" w:cs="Courier New" w:ascii="Courier New" w:hAnsi="Courier New"/>
        </w:rPr>
        <w:t xml:space="preserve">The Commerce Clause is one of the primary limits on State power.  Generally, a state has no authority to erect barriers to interstate commerce.  </w:t>
      </w:r>
      <w:r>
        <w:rPr>
          <w:rFonts w:eastAsia="Courier New" w:cs="Courier New" w:ascii="Courier New" w:hAnsi="Courier New"/>
          <w:i/>
          <w:iCs/>
        </w:rPr>
        <w:t xml:space="preserve">Philadelphia v New Jersey </w:t>
      </w:r>
      <w:r>
        <w:rPr>
          <w:rFonts w:eastAsia="Courier New" w:cs="Courier New" w:ascii="Courier New" w:hAnsi="Courier New"/>
        </w:rPr>
        <w:t xml:space="preserve">(1978) 437 US 617, ___.  State regulation which places too much burden on or precludes interstate commerce is invalid.  </w:t>
      </w:r>
      <w:r>
        <w:rPr>
          <w:rFonts w:eastAsia="Courier New" w:cs="Courier New" w:ascii="Courier New" w:hAnsi="Courier New"/>
          <w:i/>
          <w:iCs/>
        </w:rPr>
        <w:t>New Energy Co. of Indiana v Limbach</w:t>
      </w:r>
      <w:r>
        <w:rPr>
          <w:rFonts w:eastAsia="Courier New" w:cs="Courier New" w:ascii="Courier New" w:hAnsi="Courier New"/>
        </w:rPr>
        <w:t xml:space="preserve"> (1988) 486 US 269, ___.  Moreover, the transmission of power over a State line involves interstate commerce.  </w:t>
      </w:r>
      <w:r>
        <w:rPr>
          <w:rFonts w:eastAsia="Courier New" w:cs="Courier New" w:ascii="Courier New" w:hAnsi="Courier New"/>
          <w:i/>
          <w:iCs/>
        </w:rPr>
        <w:t xml:space="preserve">American Power &amp; Light Co. v Securities &amp; Exchange Commission </w:t>
      </w:r>
      <w:r>
        <w:rPr>
          <w:rFonts w:eastAsia="Courier New" w:cs="Courier New" w:ascii="Courier New" w:hAnsi="Courier New"/>
        </w:rPr>
        <w:t>(1946) 329 US 90, __.</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ab/>
        <w:t xml:space="preserve">In this case, Petitioner Enron imports power into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California for its direct access customers. The Commission’s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Order interfers with this interstate commerce and the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Commission’s rhetoric, which indicates its intent to inflict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harm on out-of-state energy providers belies any justification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for this interference with interstate commerce. </w:t>
      </w:r>
    </w:p>
    <w:p>
      <w:pPr>
        <w:pStyle w:val="Heading3"/>
        <w:tabs>
          <w:tab w:val="clear" w:pos="720"/>
          <w:tab w:val="left" w:pos="0" w:leader="none"/>
        </w:tabs>
        <w:ind w:hanging="720" w:start="720"/>
        <w:rPr/>
      </w:pPr>
      <w:r>
        <w:rPr/>
        <w:t>The Commission Has Acted Contrary To Law And In Excess Of Its Authority.</w:t>
      </w:r>
    </w:p>
    <w:p>
      <w:pPr>
        <w:pStyle w:val="Body"/>
        <w:rPr>
          <w:rFonts w:ascii="Courier New" w:hAnsi="Courier New" w:eastAsia="Courier New" w:cs="Courier New"/>
        </w:rPr>
      </w:pPr>
      <w:r>
        <w:rPr>
          <w:rFonts w:eastAsia="Courier New" w:cs="Courier New" w:ascii="Courier New" w:hAnsi="Courier New"/>
        </w:rPr>
        <w:t>The Commission has acted contrary to law and in excess of its authority because Section 80110 of the Water Code does not give it the authority to act retroactively.</w:t>
      </w:r>
    </w:p>
    <w:p>
      <w:pPr>
        <w:pStyle w:val="Heading5"/>
        <w:tabs>
          <w:tab w:val="clear" w:pos="720"/>
          <w:tab w:val="left" w:pos="0" w:leader="none"/>
        </w:tabs>
        <w:ind w:hanging="1440" w:start="2880"/>
        <w:rPr/>
      </w:pPr>
      <w:r>
        <w:rPr/>
        <w:t>Section 80110 Is Prospective.</w:t>
      </w:r>
    </w:p>
    <w:p>
      <w:pPr>
        <w:pStyle w:val="Body"/>
        <w:rPr>
          <w:rFonts w:ascii="Courier New" w:hAnsi="Courier New" w:eastAsia="Courier New" w:cs="Courier New"/>
        </w:rPr>
      </w:pPr>
      <w:r>
        <w:rPr>
          <w:rFonts w:eastAsia="Courier New" w:cs="Courier New" w:ascii="Courier New" w:hAnsi="Courier New"/>
        </w:rPr>
        <w:t xml:space="preserve">Although Section 80100 of the Water code provides the Commission with authority to suspend direct access, that section at most provides the Commission with authority to suspend direct access </w:t>
      </w:r>
      <w:r>
        <w:rPr>
          <w:rFonts w:eastAsia="Courier New" w:cs="Courier New" w:ascii="Courier New" w:hAnsi="Courier New"/>
          <w:b/>
          <w:bCs/>
        </w:rPr>
        <w:t>only prospectively:</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After passage of such period of time</w:t>
      </w:r>
      <w:r>
        <w:rPr>
          <w:rFonts w:eastAsia="Courier New" w:cs="Courier New" w:ascii="Courier New" w:hAnsi="Courier New"/>
        </w:rPr>
        <w:t xml:space="preserve"> after the effective date of this section as shall be determined by the Commission, the right of retail end-use customers . . . </w:t>
      </w:r>
      <w:r>
        <w:rPr>
          <w:rFonts w:eastAsia="Courier New" w:cs="Courier New" w:ascii="Courier New" w:hAnsi="Courier New"/>
          <w:b/>
          <w:bCs/>
        </w:rPr>
        <w:t>to acquire</w:t>
      </w:r>
      <w:r>
        <w:rPr>
          <w:rFonts w:eastAsia="Courier New" w:cs="Courier New" w:ascii="Courier New" w:hAnsi="Courier New"/>
        </w:rPr>
        <w:t xml:space="preserve"> service from other providers </w:t>
      </w:r>
      <w:r>
        <w:rPr>
          <w:rFonts w:eastAsia="Courier New" w:cs="Courier New" w:ascii="Courier New" w:hAnsi="Courier New"/>
          <w:b/>
          <w:bCs/>
        </w:rPr>
        <w:t>shall</w:t>
      </w:r>
      <w:r>
        <w:rPr>
          <w:rFonts w:eastAsia="Courier New" w:cs="Courier New" w:ascii="Courier New" w:hAnsi="Courier New"/>
        </w:rPr>
        <w:t xml:space="preserve"> </w:t>
      </w:r>
      <w:r>
        <w:rPr>
          <w:rFonts w:eastAsia="Courier New" w:cs="Courier New" w:ascii="Courier New" w:hAnsi="Courier New"/>
          <w:b/>
          <w:bCs/>
        </w:rPr>
        <w:t>be suspended</w:t>
      </w:r>
      <w:r>
        <w:rPr>
          <w:rFonts w:eastAsia="Courier New" w:cs="Courier New" w:ascii="Courier New" w:hAnsi="Courier New"/>
        </w:rPr>
        <w:t xml:space="preserve"> until the department no longer supplies power hereunder.” (Emphasis added.)</w:t>
      </w:r>
    </w:p>
    <w:p>
      <w:pPr>
        <w:pStyle w:val="Body"/>
        <w:rPr>
          <w:rFonts w:ascii="Courier New" w:hAnsi="Courier New" w:eastAsia="Courier New" w:cs="Courier New"/>
        </w:rPr>
      </w:pPr>
      <w:r>
        <w:rPr>
          <w:rFonts w:eastAsia="Courier New" w:cs="Courier New" w:ascii="Courier New" w:hAnsi="Courier New"/>
        </w:rPr>
        <w:t xml:space="preserve">The phrase “after the passage of such period of time” clearly indicates that any suspension of direct access would occur prospectively at some point subsequent to the enactment of that provision.  This language does not import any sense of urgency or need to take drastic action on the part of the Commission.  In brief, Section 80110 provides the Commission with no authority whatsoever to nullify existing contracts or to suspend direct access retroactively to an earlier date.  </w:t>
      </w:r>
    </w:p>
    <w:p>
      <w:pPr>
        <w:pStyle w:val="Body"/>
        <w:rPr>
          <w:rFonts w:ascii="Courier New" w:hAnsi="Courier New" w:eastAsia="Courier New" w:cs="Courier New"/>
        </w:rPr>
      </w:pPr>
      <w:r>
        <w:rPr>
          <w:rFonts w:eastAsia="Courier New" w:cs="Courier New" w:ascii="Courier New" w:hAnsi="Courier New"/>
        </w:rPr>
        <w:t>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Such an interpretation is consistent with other Public Utility Code provisions which preclude retroactive actions by the Commission.</w:t>
      </w:r>
    </w:p>
    <w:p>
      <w:pPr>
        <w:pStyle w:val="Body"/>
        <w:rPr>
          <w:rFonts w:ascii="Courier New" w:hAnsi="Courier New" w:eastAsia="Courier New" w:cs="Courier New"/>
        </w:rPr>
      </w:pPr>
      <w:r>
        <w:rPr>
          <w:rFonts w:eastAsia="Courier New" w:cs="Courier New" w:ascii="Courier New" w:hAnsi="Courier New"/>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 Collegiate Dictionary (http.www.m-w.com) defines “acquire” as: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1 : to get as one’s own: a : to come into possession or control of often by unspecified means b : to come to have a new or added characteristic, trait, or ability (as by sustained effort or natural selection) &lt;acquire fluency in French&gt; &lt;bacteria that acquire tolerance to antibiotics&gt;”</w:t>
      </w:r>
    </w:p>
    <w:p>
      <w:pPr>
        <w:pStyle w:val="Body"/>
        <w:ind w:hanging="0" w:end="0"/>
        <w:rPr>
          <w:rFonts w:ascii="Courier New" w:hAnsi="Courier New" w:eastAsia="Courier New" w:cs="Courier New"/>
        </w:rPr>
      </w:pPr>
      <w:r>
        <w:rPr>
          <w:rFonts w:eastAsia="Courier New" w:cs="Courier New" w:ascii="Courier New" w:hAnsi="Courier New"/>
        </w:rPr>
        <w:t>Likewise, “suspend” is used in its common meaning, which is defined as:</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to cause to stop temporarily &lt;suspend bus service&gt; b “ to set aside or make temporarily inoperative &lt;suspend the rules&gt;</w:t>
        <w:br/>
        <w:t>3 : to defer to a later time on specified conditions &lt;suspend sentence&gt;</w:t>
        <w:br/>
        <w:t>4 : to hold in an undetermined or undecided state awaiting further information &lt;suspend judgment&gt; &lt;suspend disbelief&gt;</w:t>
      </w:r>
    </w:p>
    <w:p>
      <w:pPr>
        <w:pStyle w:val="Body"/>
        <w:ind w:hanging="0" w:end="0"/>
        <w:rPr/>
      </w:pPr>
      <w:r>
        <w:rPr>
          <w:rFonts w:eastAsia="Courier New" w:cs="Courier New" w:ascii="Courier New" w:hAnsi="Courier New"/>
        </w:rPr>
        <w:t xml:space="preserve">Both words are used in the present or future tense in Section 80110 and can only refer to halting the entry into new contracts for direct access.  Had the Legislature intended to give the Commission the ability to void existing contracts, it would not have used the phrases “shall be suspended” and “to acquire.”  Instead it would have set a date certain (or such date as the Commission may determine) after which all customers may only purchase electricity from the regulated utilities acquiring electricity through the State.  There is a world of difference between the forward looking “shall be suspended” and a backward looking “abrogate.”  By applying the plain language of the statue, the Commission’s legal authority and power from the Legislature is prospective.  </w:t>
      </w:r>
      <w:r>
        <w:rPr>
          <w:rFonts w:eastAsia="Courier New" w:cs="Courier New" w:ascii="Courier New" w:hAnsi="Courier New"/>
          <w:i/>
          <w:iCs/>
        </w:rPr>
        <w:t>See, International Association of Machinists v. Street</w:t>
      </w:r>
      <w:r>
        <w:rPr>
          <w:rFonts w:eastAsia="Courier New" w:cs="Courier New" w:ascii="Courier New" w:hAnsi="Courier New"/>
        </w:rPr>
        <w:t>, 367 U.S. 740, 749-750 (statutes should be construed to avoid constitutional infirmity).</w:t>
      </w:r>
    </w:p>
    <w:p>
      <w:pPr>
        <w:pStyle w:val="Heading5"/>
        <w:tabs>
          <w:tab w:val="clear" w:pos="720"/>
          <w:tab w:val="left" w:pos="0" w:leader="none"/>
        </w:tabs>
        <w:ind w:hanging="1440" w:start="2880"/>
        <w:rPr/>
      </w:pPr>
      <w:r>
        <w:rPr/>
        <w:t>The Intention Of the Legislature Is Unequivocal.</w:t>
      </w:r>
    </w:p>
    <w:p>
      <w:pPr>
        <w:pStyle w:val="Body"/>
        <w:rPr/>
      </w:pPr>
      <w:r>
        <w:rPr>
          <w:rFonts w:eastAsia="Courier New" w:cs="Courier New" w:ascii="Courier New" w:hAnsi="Courier New"/>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rFonts w:eastAsia="Courier New" w:cs="Courier New" w:ascii="Courier New" w:hAnsi="Courier New"/>
          <w:i/>
          <w:iCs/>
        </w:rPr>
        <w:t>County of Alameda v. Pacific Gas &amp; Elec. Co.</w:t>
      </w:r>
      <w:r>
        <w:rPr>
          <w:rFonts w:eastAsia="Courier New" w:cs="Courier New" w:ascii="Courier New" w:hAnsi="Courier New"/>
        </w:rPr>
        <w:t xml:space="preserve"> (1997)60 Cal.Rptr. 2d 187, 194.  </w:t>
      </w:r>
    </w:p>
    <w:p>
      <w:pPr>
        <w:pStyle w:val="Body"/>
        <w:rPr/>
      </w:pPr>
      <w:r>
        <w:rPr>
          <w:rFonts w:eastAsia="Courier New" w:cs="Courier New" w:ascii="Courier New" w:hAnsi="Courier New"/>
        </w:rPr>
        <w:t xml:space="preserve">No such manifest intention is evidenced in Section 80110.  The July 1, 2001 suspension date clearly predates final action by the Commission.  The date of final action by the Commission is the proper reference point because the act of suspending direct access is legislative in character.  </w:t>
      </w:r>
      <w:r>
        <w:rPr>
          <w:rFonts w:eastAsia="Courier New" w:cs="Courier New" w:ascii="Courier New" w:hAnsi="Courier New"/>
          <w:i/>
          <w:iCs/>
        </w:rPr>
        <w:t>See Wise v. Pacific Gas &amp; Elec. Co.</w:t>
      </w:r>
      <w:r>
        <w:rPr>
          <w:rFonts w:eastAsia="Courier New" w:cs="Courier New" w:ascii="Courier New" w:hAnsi="Courier New"/>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rFonts w:eastAsia="Courier New" w:cs="Courier New" w:ascii="Courier New" w:hAnsi="Courier New"/>
          <w:i/>
          <w:iCs/>
        </w:rPr>
        <w:t>See Pacific Tel. &amp; Tel. Co. v. Public Utils. Comm’n</w:t>
      </w:r>
      <w:r>
        <w:rPr>
          <w:rFonts w:eastAsia="Courier New" w:cs="Courier New" w:ascii="Courier New" w:hAnsi="Courier New"/>
        </w:rPr>
        <w:t>, 62 Cal.2d 634, 655 (1965) (noting that actions that are legislative in character, such as ratemaking, look to the future).</w:t>
      </w:r>
    </w:p>
    <w:p>
      <w:pPr>
        <w:pStyle w:val="Heading5"/>
        <w:tabs>
          <w:tab w:val="clear" w:pos="720"/>
          <w:tab w:val="left" w:pos="0" w:leader="none"/>
        </w:tabs>
        <w:ind w:hanging="1440" w:start="2880"/>
        <w:rPr/>
      </w:pPr>
      <w:r>
        <w:rPr/>
        <w:t>The Record Demonstrates That The Commission Acted Contrary To law And In Excess Of Its Authority.</w:t>
      </w:r>
    </w:p>
    <w:p>
      <w:pPr>
        <w:pStyle w:val="Body"/>
        <w:rPr>
          <w:rFonts w:ascii="Courier New" w:hAnsi="Courier New" w:eastAsia="Courier New" w:cs="Courier New"/>
        </w:rPr>
      </w:pPr>
      <w:r>
        <w:rPr>
          <w:rFonts w:eastAsia="Courier New" w:cs="Courier New" w:ascii="Courier New" w:hAnsi="Courier New"/>
        </w:rPr>
        <w:t>The Commission’s Order has retroactive application, suspending some direct access contracts and modifying the remaining contracts.  Its authority pursuant to Section 80110, however, was prospective.  Accordingly, this Court should find that the Commission acted in excess of its powers and contrary to law (Pub. Util. Code §§ 1757.1(a) and (3)) and thus abused  its discretion. (Pub. Util. Code § 1757.1(a)(4).)</w:t>
      </w:r>
    </w:p>
    <w:p>
      <w:pPr>
        <w:pStyle w:val="Heading3"/>
        <w:tabs>
          <w:tab w:val="clear" w:pos="720"/>
          <w:tab w:val="left" w:pos="0" w:leader="none"/>
        </w:tabs>
        <w:ind w:hanging="720" w:start="720"/>
        <w:rPr/>
      </w:pPr>
      <w:r>
        <w:rPr/>
        <w:t>The Commission’s Findings Are Not Supported By The Record.</w:t>
      </w:r>
    </w:p>
    <w:p>
      <w:pPr>
        <w:pStyle w:val="Body"/>
        <w:rPr>
          <w:rFonts w:ascii="Courier New" w:hAnsi="Courier New" w:eastAsia="Courier New" w:cs="Courier New"/>
        </w:rPr>
      </w:pPr>
      <w:r>
        <w:rPr>
          <w:rFonts w:eastAsia="Courier New" w:cs="Courier New" w:ascii="Courier New" w:hAnsi="Courier New"/>
        </w:rPr>
        <w:t>If a decision of the Commission is not supported by its findings, then the decision must be reversed.  Pub. Util. Code § 1757.1(a)(4).  The findings, however, have no meaning if they are not supported by substantial evidence.</w:t>
      </w:r>
    </w:p>
    <w:p>
      <w:pPr>
        <w:pStyle w:val="Body"/>
        <w:rPr>
          <w:rFonts w:ascii="Courier New" w:hAnsi="Courier New" w:eastAsia="Courier New" w:cs="Courier New"/>
        </w:rPr>
      </w:pPr>
      <w:r>
        <w:rPr>
          <w:rFonts w:eastAsia="Courier New" w:cs="Courier New" w:ascii="Courier New" w:hAnsi="Courier New"/>
        </w:rPr>
        <w:t>The defect in the findings in this situation derives from the Commission’s refusal to allow a hearing.  When the record is devoid of the evidence that would come through a hearing, there is no basis for any findings and the Order must be vacated.</w:t>
      </w:r>
    </w:p>
    <w:p>
      <w:pPr>
        <w:pStyle w:val="Body"/>
        <w:ind w:firstLine="2880" w:end="0"/>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CONCLUSION</w:t>
      </w:r>
    </w:p>
    <w:p>
      <w:pPr>
        <w:pStyle w:val="Body"/>
        <w:rPr>
          <w:rFonts w:ascii="Courier New" w:hAnsi="Courier New" w:eastAsia="Courier New" w:cs="Courier New"/>
        </w:rPr>
      </w:pPr>
      <w:r>
        <w:rPr>
          <w:rFonts w:eastAsia="Courier New" w:cs="Courier New" w:ascii="Courier New" w:hAnsi="Courier New"/>
        </w:rPr>
        <w:t>For inexplicable reasons, the Commission refused to conduct hearings, acted contrary to the authority conferred by the Legislature, and issued an Order interfering with interstate commerce and existing contracts thereby causing an uncompensated taking from those California residents and those energy providers with direct access contracts.</w:t>
      </w:r>
    </w:p>
    <w:p>
      <w:pPr>
        <w:pStyle w:val="Body"/>
        <w:rPr>
          <w:rFonts w:ascii="Courier New" w:hAnsi="Courier New" w:eastAsia="Courier New" w:cs="Courier New"/>
        </w:rPr>
      </w:pPr>
      <w:r>
        <w:rPr>
          <w:rFonts w:eastAsia="Courier New" w:cs="Courier New" w:ascii="Courier New" w:hAnsi="Courier New"/>
        </w:rPr>
        <w:t>California has experienced an energy problem which has resulted in inflammatory rhetoric and name-calling.  The use of such tactics to justify conduct that violates the constitutional rights of more than 70,000 Californians is unconscionable.  This Court must act to protect and maintain constitutional rights.  This Court should vacate the Commission’s Order and restore constitutional guaranties.</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LIN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start="4860" w:end="0"/>
        <w:rPr>
          <w:rFonts w:ascii="Courier New" w:hAnsi="Courier New" w:eastAsia="Courier New" w:cs="Courier New"/>
        </w:rPr>
      </w:pPr>
      <w:r>
        <w:rPr>
          <w:rFonts w:eastAsia="Courier New" w:cs="Courier New" w:ascii="Courier New" w:hAnsi="Courier New"/>
        </w:rPr>
        <w:t>University of California, California State University, and Enron Energy Services, Inc.</w:t>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cPr>
        <w:p>
          <w:pPr>
            <w:pStyle w:val="Pline3"/>
            <w:snapToGrid w:val="false"/>
            <w:rPr/>
          </w:pPr>
          <w:r>
            <w:rPr/>
          </w:r>
        </w:p>
      </w:tc>
      <w:tc>
        <w:tcPr>
          <w:tcW w:w="3787" w:type="dxa"/>
          <w:tcBorders/>
        </w:tcPr>
        <w:p>
          <w:pPr>
            <w:pStyle w:val="Footer"/>
            <w:snapToGrid w:val="false"/>
            <w:rPr/>
          </w:pPr>
          <w:r>
            <w:rPr/>
          </w:r>
        </w:p>
        <w:p>
          <w:pPr>
            <w:pStyle w:val="Footer"/>
            <w:rPr/>
          </w:pPr>
          <w:r>
            <w:rPr/>
            <w:t>65040.1</w:t>
          </w:r>
        </w:p>
        <w:p>
          <w:pPr>
            <w:pStyle w:val="FooterTxt"/>
            <w:tabs>
              <w:tab w:val="clear" w:pos="4320"/>
              <w:tab w:val="clear" w:pos="8640"/>
            </w:tabs>
            <w:spacing w:before="0" w:after="0"/>
            <w:rPr/>
          </w:pPr>
          <w:r>
            <w:rPr/>
            <w:t>00000/00850</w:t>
          </w:r>
        </w:p>
      </w:tc>
      <w:tc>
        <w:tcPr>
          <w:tcW w:w="1800" w:type="dxa"/>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p>
    <w:pPr>
      <w:pStyle w:val="Footer"/>
      <w:rPr/>
    </w:pPr>
    <w:r>
      <w:rPr/>
      <w:t>65040.1</w:t>
    </w:r>
  </w:p>
  <w:p>
    <w:pPr>
      <w:pStyle w:val="Footer"/>
      <w:rPr/>
    </w:pPr>
    <w:r>
      <w:rPr/>
      <w:t>00000/00850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65040.1</w:t>
    </w:r>
  </w:p>
  <w:p>
    <w:pPr>
      <w:pStyle w:val="Footer"/>
      <w:rPr>
        <w:rStyle w:val="PageNumber"/>
      </w:rPr>
    </w:pPr>
    <w:r>
      <w:rPr/>
      <w:t>00000/00850</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65040.1</w:t>
    </w:r>
  </w:p>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b w:val="false"/>
          <w:bCs w:val="false"/>
        </w:rPr>
        <w:t>?</w:t>
      </w:r>
      <w:r>
        <w:rPr>
          <w:b/>
          <w:bCs/>
        </w:rPr>
        <w:t xml:space="preserve"> </w:t>
      </w:r>
      <w:r>
        <w:rPr/>
        <w:tab/>
        <w:t>Petitioners University of California and California State University submitted comments on September _, 2001, and Petitioner Enron Energy Services, Inc., as a member of the Alliance For Retail Energy Markets, submitted comments on September 4, 2001, regarding the Commission’s then proposed action.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4">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More current figures are not available because the Commission </w:t>
      </w:r>
      <w:r>
        <w:rPr>
          <w:b/>
          <w:bCs/>
        </w:rPr>
        <w:t>refused</w:t>
      </w:r>
      <w:r>
        <w:rPr/>
        <w:t xml:space="preserve"> to allow hearings to be held.</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tab/>
        <w:t>Petitioner is unable to provide information more current than July 31, 2001, because the Commission refused to allow evidentiary hearings at which such information would probably have been made part of the record.</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r>
      <w:bookmarkStart w:id="8" w:name="zImInFootnote"/>
      <w:bookmarkEnd w:id="8"/>
      <w:r>
        <w:rPr/>
        <w:tab/>
        <w:t>The Order became effective on September __, 2001, the date it was mailed.  (Pub. Util. Code § _____).  So long as the proceeding is initiated prior to the final day to apply for a rehearing, it is timely because the right to apply for a rehearing has not expired.  (Pub. Util. Code § _____) (application for rehearing must be filed within 15 days following the order.)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end"/>
      <w:pPr>
        <w:tabs>
          <w:tab w:val="num" w:pos="720"/>
        </w:tabs>
        <w:ind w:start="720" w:hanging="0"/>
      </w:pPr>
    </w:lvl>
    <w:lvl w:ilvl="1">
      <w:start w:val="1"/>
      <w:pStyle w:val="Heading2"/>
      <w:numFmt w:val="upperRoman"/>
      <w:suff w:val="nothing"/>
      <w:lvlText w:val="%2"/>
      <w:lvlJc w:val="end"/>
      <w:pPr>
        <w:tabs>
          <w:tab w:val="num" w:pos="0"/>
        </w:tabs>
        <w:ind w:start="0" w:hanging="0"/>
      </w:pPr>
    </w:lvl>
    <w:lvl w:ilvl="2">
      <w:start w:val="1"/>
      <w:pStyle w:val="Heading3"/>
      <w:numFmt w:val="upperLetter"/>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z w:val="14"/>
      <w:szCs w:val="14"/>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2001-09-10T17:12:00Z</dcterms:created>
  <dc:creator>Arter &amp; Hadden</dc:creator>
  <dc:description/>
  <dc:language>en-CA</dc:language>
  <cp:lastModifiedBy>Arter &amp; Hadden</cp:lastModifiedBy>
  <cp:lastPrinted>2001-09-10T07:16:00Z</cp:lastPrinted>
  <dcterms:modified xsi:type="dcterms:W3CDTF">2001-09-10T17:12:00Z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