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530" w:leader="none"/>
        </w:tabs>
        <w:rPr>
          <w:b/>
          <w:sz w:val="32"/>
        </w:rPr>
      </w:pPr>
      <w:r>
        <w:rPr>
          <w:b/>
          <w:sz w:val="32"/>
        </w:rPr>
        <w:t>American Gas Association</w:t>
        <w:tab/>
        <w:t>American Petroleum Institute</w:t>
      </w:r>
    </w:p>
    <w:p>
      <w:pPr>
        <w:pStyle w:val="BodyText"/>
        <w:tabs>
          <w:tab w:val="clear" w:pos="720"/>
          <w:tab w:val="left" w:pos="1530" w:leader="none"/>
        </w:tabs>
        <w:rPr>
          <w:b/>
          <w:sz w:val="32"/>
        </w:rPr>
      </w:pPr>
      <w:r>
        <w:rPr>
          <w:b/>
          <w:sz w:val="32"/>
        </w:rPr>
        <w:t xml:space="preserve">American Public Gas Association </w:t>
        <w:tab/>
        <w:t>Association of Oil Pipe Lines</w:t>
        <w:tab/>
      </w:r>
    </w:p>
    <w:p>
      <w:pPr>
        <w:pStyle w:val="Heading6"/>
        <w:ind w:hanging="0" w:start="0"/>
        <w:rPr>
          <w:rFonts w:ascii="Times New Roman" w:hAnsi="Times New Roman" w:cs="Times New Roman"/>
        </w:rPr>
      </w:pPr>
      <w:r>
        <w:rPr>
          <w:rFonts w:cs="Times New Roman" w:ascii="Times New Roman" w:hAnsi="Times New Roman"/>
        </w:rPr>
        <w:t>Interstate Natural Gas Association of America</w:t>
      </w:r>
    </w:p>
    <w:p>
      <w:pPr>
        <w:pStyle w:val="Heading4"/>
        <w:ind w:hanging="0" w:start="0"/>
        <w:rPr>
          <w:sz w:val="24"/>
        </w:rPr>
      </w:pPr>
      <w:r>
        <w:rPr>
          <w:sz w:val="24"/>
        </w:rPr>
      </w:r>
    </w:p>
    <w:p>
      <w:pPr>
        <w:pStyle w:val="BodyText2"/>
        <w:spacing w:lineRule="auto" w:line="240"/>
        <w:rPr>
          <w:b/>
          <w:bCs/>
        </w:rPr>
      </w:pPr>
      <w:r>
        <w:rPr>
          <w:b/>
          <w:bCs/>
        </w:rPr>
        <w:t>FOR IMMEDIATE RELEASE</w:t>
        <w:tab/>
        <w:tab/>
        <w:tab/>
      </w:r>
    </w:p>
    <w:p>
      <w:pPr>
        <w:pStyle w:val="BodyText2"/>
        <w:tabs>
          <w:tab w:val="clear" w:pos="720"/>
          <w:tab w:val="left" w:pos="900" w:leader="none"/>
          <w:tab w:val="left" w:pos="2340" w:leader="none"/>
          <w:tab w:val="left" w:pos="2880" w:leader="none"/>
          <w:tab w:val="left" w:pos="4680" w:leader="none"/>
        </w:tabs>
        <w:spacing w:lineRule="auto" w:line="240"/>
        <w:rPr>
          <w:sz w:val="20"/>
        </w:rPr>
      </w:pPr>
      <w:r>
        <w:rPr>
          <w:sz w:val="20"/>
        </w:rPr>
        <w:t xml:space="preserve">Contact: </w:t>
        <w:tab/>
        <w:t>Daphne Magnuson</w:t>
        <w:tab/>
        <w:t>Bill Hickman</w:t>
        <w:tab/>
        <w:t>Bert Kalisch</w:t>
        <w:tab/>
        <w:tab/>
        <w:t>Raymond Paul</w:t>
        <w:tab/>
        <w:t>Martin Edwards</w:t>
        <w:tab/>
      </w:r>
    </w:p>
    <w:p>
      <w:pPr>
        <w:pStyle w:val="BodyText2"/>
        <w:tabs>
          <w:tab w:val="clear" w:pos="720"/>
          <w:tab w:val="left" w:pos="900" w:leader="none"/>
          <w:tab w:val="left" w:pos="2340" w:leader="none"/>
          <w:tab w:val="left" w:pos="2880" w:leader="none"/>
          <w:tab w:val="left" w:pos="4140" w:leader="none"/>
          <w:tab w:val="left" w:pos="4680" w:leader="none"/>
        </w:tabs>
        <w:spacing w:lineRule="auto" w:line="240"/>
        <w:rPr>
          <w:sz w:val="20"/>
        </w:rPr>
      </w:pPr>
      <w:r>
        <w:rPr>
          <w:sz w:val="20"/>
        </w:rPr>
        <w:tab/>
        <w:t>AGA</w:t>
        <w:tab/>
        <w:tab/>
        <w:t xml:space="preserve">API </w:t>
        <w:tab/>
        <w:tab/>
        <w:t>APGA</w:t>
        <w:tab/>
        <w:tab/>
        <w:t>AOPL</w:t>
        <w:tab/>
        <w:tab/>
        <w:t>INGAA</w:t>
        <w:tab/>
      </w:r>
    </w:p>
    <w:p>
      <w:pPr>
        <w:pStyle w:val="BodyText2"/>
        <w:tabs>
          <w:tab w:val="clear" w:pos="720"/>
          <w:tab w:val="left" w:pos="900" w:leader="none"/>
          <w:tab w:val="left" w:pos="2340" w:leader="none"/>
          <w:tab w:val="left" w:pos="2880" w:leader="none"/>
          <w:tab w:val="left" w:pos="4680" w:leader="none"/>
        </w:tabs>
        <w:spacing w:lineRule="auto" w:line="240"/>
        <w:rPr/>
      </w:pPr>
      <w:r>
        <w:rPr>
          <w:sz w:val="20"/>
        </w:rPr>
        <w:tab/>
        <w:t>202-824-7205</w:t>
        <w:tab/>
        <w:tab/>
      </w:r>
      <w:r>
        <w:rPr>
          <w:sz w:val="20"/>
          <w:szCs w:val="20"/>
        </w:rPr>
        <w:t xml:space="preserve">202-682-8210 </w:t>
        <w:tab/>
        <w:t>703-352-3890 </w:t>
        <w:tab/>
        <w:t>202-408-7970</w:t>
        <w:tab/>
      </w:r>
      <w:r>
        <w:rPr>
          <w:sz w:val="20"/>
        </w:rPr>
        <w:t>202-216-5910</w:t>
      </w:r>
    </w:p>
    <w:p>
      <w:pPr>
        <w:pStyle w:val="Normal"/>
        <w:tabs>
          <w:tab w:val="clear" w:pos="720"/>
          <w:tab w:val="left" w:pos="2880" w:leader="none"/>
          <w:tab w:val="left" w:pos="4680" w:leader="none"/>
        </w:tabs>
        <w:autoSpaceDE w:val="false"/>
        <w:ind w:hanging="900" w:start="900" w:end="0"/>
        <w:rPr/>
      </w:pPr>
      <w:r>
        <w:rPr/>
        <w:tab/>
      </w:r>
      <w:hyperlink r:id="rId2">
        <w:r>
          <w:rPr>
            <w:rStyle w:val="Hyperlink"/>
            <w:sz w:val="18"/>
          </w:rPr>
          <w:t>dmagnuson@aga.org</w:t>
        </w:r>
      </w:hyperlink>
      <w:r>
        <w:rPr/>
        <w:tab/>
      </w:r>
      <w:hyperlink r:id="rId3">
        <w:r>
          <w:rPr>
            <w:rStyle w:val="Hyperlink"/>
            <w:sz w:val="18"/>
            <w:szCs w:val="17"/>
          </w:rPr>
          <w:t>hickmanb@api.org</w:t>
        </w:r>
      </w:hyperlink>
      <w:r>
        <w:rPr/>
        <w:tab/>
      </w:r>
      <w:hyperlink r:id="rId4">
        <w:r>
          <w:rPr>
            <w:rStyle w:val="Hyperlink"/>
            <w:sz w:val="18"/>
            <w:szCs w:val="20"/>
          </w:rPr>
          <w:t>bkalisch@apga.org</w:t>
        </w:r>
      </w:hyperlink>
      <w:r>
        <w:rPr>
          <w:sz w:val="18"/>
        </w:rPr>
        <w:tab/>
      </w:r>
      <w:hyperlink r:id="rId5">
        <w:r>
          <w:rPr>
            <w:rStyle w:val="Hyperlink"/>
            <w:sz w:val="18"/>
          </w:rPr>
          <w:t>rpaul@aopl.org</w:t>
        </w:r>
      </w:hyperlink>
      <w:r>
        <w:rPr>
          <w:sz w:val="18"/>
        </w:rPr>
        <w:tab/>
      </w:r>
      <w:hyperlink r:id="rId6">
        <w:r>
          <w:rPr>
            <w:rStyle w:val="Hyperlink"/>
            <w:sz w:val="20"/>
          </w:rPr>
          <w:t>medwards@ingaa.org</w:t>
        </w:r>
      </w:hyperlink>
    </w:p>
    <w:p>
      <w:pPr>
        <w:pStyle w:val="BodyText2"/>
        <w:spacing w:lineRule="auto" w:line="240"/>
        <w:rPr>
          <w:sz w:val="20"/>
        </w:rPr>
      </w:pPr>
      <w:r>
        <w:rPr>
          <w:sz w:val="20"/>
        </w:rPr>
      </w:r>
    </w:p>
    <w:p>
      <w:pPr>
        <w:pStyle w:val="BodyText"/>
        <w:jc w:val="start"/>
        <w:rPr/>
      </w:pPr>
      <w:r>
        <w:rPr>
          <w:sz w:val="20"/>
        </w:rPr>
        <w:tab/>
        <w:tab/>
      </w:r>
      <w:r>
        <w:rPr>
          <w:b/>
          <w:bCs/>
          <w:smallCaps/>
          <w:sz w:val="36"/>
        </w:rPr>
        <w:t xml:space="preserve"> Pipeline Industry Unites To Urge Passage of </w:t>
      </w:r>
    </w:p>
    <w:p>
      <w:pPr>
        <w:pStyle w:val="BodyText"/>
        <w:rPr>
          <w:b/>
          <w:bCs/>
          <w:smallCaps/>
          <w:sz w:val="20"/>
        </w:rPr>
      </w:pPr>
      <w:r>
        <w:rPr>
          <w:b/>
          <w:bCs/>
          <w:smallCaps/>
          <w:sz w:val="36"/>
        </w:rPr>
        <w:t>Pipeline Safety Legislation</w:t>
      </w:r>
    </w:p>
    <w:p>
      <w:pPr>
        <w:pStyle w:val="BodyText"/>
        <w:rPr>
          <w:b/>
          <w:bCs/>
          <w:smallCaps/>
          <w:sz w:val="20"/>
        </w:rPr>
      </w:pPr>
      <w:r>
        <w:rPr>
          <w:b/>
          <w:bCs/>
          <w:smallCaps/>
          <w:sz w:val="20"/>
        </w:rPr>
      </w:r>
    </w:p>
    <w:p>
      <w:pPr>
        <w:pStyle w:val="BodyText"/>
        <w:rPr>
          <w:b/>
          <w:bCs/>
          <w:i/>
          <w:i/>
          <w:iCs/>
          <w:smallCaps/>
        </w:rPr>
      </w:pPr>
      <w:r>
        <w:rPr>
          <w:b/>
          <w:bCs/>
          <w:i/>
          <w:iCs/>
          <w:smallCaps/>
        </w:rPr>
        <w:t>Industry to U.S. DOT: Safety Is Our Top Priority</w:t>
      </w:r>
    </w:p>
    <w:p>
      <w:pPr>
        <w:pStyle w:val="BodyText"/>
        <w:tabs>
          <w:tab w:val="clear" w:pos="720"/>
          <w:tab w:val="left" w:pos="10620" w:leader="none"/>
        </w:tabs>
        <w:jc w:val="start"/>
        <w:rPr>
          <w:b/>
          <w:bCs/>
          <w:i/>
          <w:i/>
          <w:iCs/>
          <w:smallCaps/>
          <w:sz w:val="16"/>
        </w:rPr>
      </w:pPr>
      <w:r>
        <w:rPr>
          <w:b/>
          <w:bCs/>
          <w:i/>
          <w:iCs/>
          <w:smallCaps/>
          <w:sz w:val="16"/>
        </w:rPr>
      </w:r>
    </w:p>
    <w:p>
      <w:pPr>
        <w:pStyle w:val="BodyText2"/>
        <w:spacing w:lineRule="auto" w:line="240"/>
        <w:rPr/>
      </w:pPr>
      <w:r>
        <w:rPr>
          <w:b/>
          <w:bCs/>
        </w:rPr>
        <w:t>WASHINGTON (November 20, 2001)</w:t>
      </w:r>
      <w:r>
        <w:rPr/>
        <w:t xml:space="preserve"> – Top U.S. pipeline industry leaders have united to urge the passage of an effective and responsible bill to promote the safety of more than two million miles of oil and natural gas pipelines.</w:t>
      </w:r>
    </w:p>
    <w:p>
      <w:pPr>
        <w:pStyle w:val="BodyText2"/>
        <w:spacing w:lineRule="auto" w:line="240"/>
        <w:rPr/>
      </w:pPr>
      <w:r>
        <w:rPr/>
      </w:r>
    </w:p>
    <w:p>
      <w:pPr>
        <w:pStyle w:val="BodyText2"/>
        <w:spacing w:lineRule="auto" w:line="240"/>
        <w:rPr/>
      </w:pPr>
      <w:r>
        <w:rPr/>
        <w:t xml:space="preserve">In a letter to the U.S. Department of Transportation (DOT) Secretary Norman Mineta released today, pipeline leaders offered their assistance to the department and said, “Our industries have joined together to address both regulatory and legislative pipeline safety issues in a unified fashion.”  </w:t>
      </w:r>
    </w:p>
    <w:p>
      <w:pPr>
        <w:pStyle w:val="BodyText2"/>
        <w:spacing w:lineRule="auto" w:line="240"/>
        <w:rPr/>
      </w:pPr>
      <w:r>
        <w:rPr/>
      </w:r>
    </w:p>
    <w:p>
      <w:pPr>
        <w:pStyle w:val="BodyText2"/>
        <w:spacing w:lineRule="auto" w:line="240"/>
        <w:rPr/>
      </w:pPr>
      <w:r>
        <w:rPr/>
        <w:t>Signing the letter were 14 leaders of the oil and natural gas transmission and distribution pipeline industries and the leaders of the five key trade associations, which include the American Gas Association, American Petroleum Institute, Association of Oil Pipe Lines, American Public Gas Association and Interstate Natural Gas Association of America.</w:t>
      </w:r>
    </w:p>
    <w:p>
      <w:pPr>
        <w:pStyle w:val="BodyText2"/>
        <w:spacing w:lineRule="auto" w:line="240"/>
        <w:rPr/>
      </w:pPr>
      <w:r>
        <w:rPr/>
        <w:t xml:space="preserve"> </w:t>
      </w:r>
    </w:p>
    <w:p>
      <w:pPr>
        <w:pStyle w:val="BodyText2"/>
        <w:spacing w:lineRule="auto" w:line="240"/>
        <w:rPr/>
      </w:pPr>
      <w:r>
        <w:rPr/>
        <w:t>Included with the letter to Secretary Mineta was the industry’s unified position paper calling for pipeline safety regulatory and legislative action.  The position paper demonstrates the industry’s strong commitment to a top-notch safety program and stresses the importance of public confidence as “a prerequisite for operating, upgrading and expanding America’s pipeline network to meet America’s energy needs reliably with reasonably priced fuels.”</w:t>
      </w:r>
    </w:p>
    <w:p>
      <w:pPr>
        <w:pStyle w:val="BodyText2"/>
        <w:spacing w:lineRule="auto" w:line="240"/>
        <w:rPr/>
      </w:pPr>
      <w:r>
        <w:rPr/>
      </w:r>
    </w:p>
    <w:p>
      <w:pPr>
        <w:pStyle w:val="BodyText2"/>
        <w:spacing w:lineRule="auto" w:line="240"/>
        <w:rPr/>
      </w:pPr>
      <w:r>
        <w:rPr/>
        <w:t>The industry position paper outlines key principles that should guide discussions regarding pipeline safety legislation.  These principles include increasing safety and enhancing public confidence in the nationwide pipeline network, providing for an adequately staffed and appropriately funded Office of Pipeline Safety, and recognizing and supporting DOT’s timely regulatory actions to develop and implement new rules for enhancing pipeline integrity and ensuring pipeline operator job qualifications.  The position paper continues by urging the House to move forward to pass consensus pipeline safety legislation.</w:t>
      </w:r>
    </w:p>
    <w:p>
      <w:pPr>
        <w:pStyle w:val="BodyText2"/>
        <w:spacing w:lineRule="auto" w:line="240"/>
        <w:rPr/>
      </w:pPr>
      <w:r>
        <w:rPr/>
      </w:r>
    </w:p>
    <w:p>
      <w:pPr>
        <w:pStyle w:val="BodyText2"/>
        <w:spacing w:lineRule="auto" w:line="240"/>
        <w:rPr/>
      </w:pPr>
      <w:r>
        <w:rPr/>
        <w:t>The unified pipeline industry is dedicated to working with Congress, the DOT and other Administration officials to ensure the nation’s pipeline network is safe and secure.  The group pledges to work with these policymakers to pass a pipeline safety bill.</w:t>
      </w:r>
    </w:p>
    <w:p>
      <w:pPr>
        <w:pStyle w:val="Heading5"/>
        <w:ind w:hanging="0" w:start="0"/>
        <w:rPr>
          <w:b w:val="false"/>
          <w:bCs w:val="false"/>
        </w:rPr>
      </w:pPr>
      <w:r>
        <w:rPr>
          <w:b w:val="false"/>
          <w:bCs w:val="false"/>
        </w:rPr>
      </w:r>
    </w:p>
    <w:p>
      <w:pPr>
        <w:pStyle w:val="Heading5"/>
        <w:ind w:hanging="0" w:start="0"/>
        <w:rPr/>
      </w:pPr>
      <w:r>
        <w:rPr>
          <w:b w:val="false"/>
          <w:bCs w:val="false"/>
        </w:rPr>
        <w:t xml:space="preserve">For more information about pipeline safety, you can visit the Web sites of the following industry associations: </w:t>
      </w:r>
      <w:r>
        <w:rPr/>
        <w:t xml:space="preserve">American Gas Association – </w:t>
      </w:r>
      <w:hyperlink r:id="rId7">
        <w:r>
          <w:rPr>
            <w:rStyle w:val="Hyperlink"/>
          </w:rPr>
          <w:t>www.aga.org</w:t>
        </w:r>
      </w:hyperlink>
      <w:r>
        <w:rPr/>
        <w:t xml:space="preserve">, American Petroleum Institute – </w:t>
      </w:r>
      <w:hyperlink r:id="rId8">
        <w:r>
          <w:rPr>
            <w:rStyle w:val="Hyperlink"/>
          </w:rPr>
          <w:t>www.api.org</w:t>
        </w:r>
      </w:hyperlink>
      <w:r>
        <w:rPr/>
        <w:t xml:space="preserve">, American Public Gas Association – </w:t>
      </w:r>
      <w:hyperlink r:id="rId9">
        <w:r>
          <w:rPr>
            <w:rStyle w:val="Hyperlink"/>
          </w:rPr>
          <w:t>www.apga.org</w:t>
        </w:r>
      </w:hyperlink>
      <w:r>
        <w:rPr/>
        <w:t xml:space="preserve">, Association of Oil Pipe Lines – </w:t>
      </w:r>
      <w:hyperlink r:id="rId10">
        <w:r>
          <w:rPr>
            <w:rStyle w:val="Hyperlink"/>
          </w:rPr>
          <w:t>www.aopl.org</w:t>
        </w:r>
      </w:hyperlink>
      <w:r>
        <w:rPr/>
        <w:t xml:space="preserve"> and Interstate Natural Gas Association of America – </w:t>
      </w:r>
      <w:hyperlink r:id="rId11">
        <w:r>
          <w:rPr>
            <w:rStyle w:val="Hyperlink"/>
          </w:rPr>
          <w:t>www.ingaa.org</w:t>
        </w:r>
      </w:hyperlink>
      <w:r>
        <w:rPr/>
        <w:t>.</w:t>
      </w:r>
    </w:p>
    <w:p>
      <w:pPr>
        <w:pStyle w:val="Normal"/>
        <w:jc w:val="center"/>
        <w:rPr>
          <w:rFonts w:ascii="Times New Roman" w:hAnsi="Times New Roman" w:cs="Times New Roman"/>
          <w:sz w:val="24"/>
        </w:rPr>
      </w:pPr>
      <w:r>
        <w:rPr>
          <w:rFonts w:cs="Times New Roman" w:ascii="Times New Roman" w:hAnsi="Times New Roman"/>
          <w:sz w:val="24"/>
        </w:rPr>
        <w:t>###</w:t>
      </w:r>
    </w:p>
    <w:sectPr>
      <w:type w:val="nextPage"/>
      <w:pgSz w:w="12240" w:h="15840"/>
      <w:pgMar w:left="720" w:right="720" w:gutter="0" w:header="0" w:top="115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ind w:hanging="1440" w:start="1440" w:end="0"/>
      <w:outlineLvl w:val="1"/>
    </w:pPr>
    <w:rPr>
      <w:rFonts w:ascii="Times New Roman" w:hAnsi="Times New Roman" w:cs="Times New Roman"/>
      <w:b/>
      <w:sz w:val="24"/>
      <w:szCs w:val="20"/>
    </w:rPr>
  </w:style>
  <w:style w:type="paragraph" w:styleId="Heading3">
    <w:name w:val="heading 3"/>
    <w:basedOn w:val="Normal"/>
    <w:next w:val="Normal"/>
    <w:qFormat/>
    <w:pPr>
      <w:keepNext w:val="true"/>
      <w:numPr>
        <w:ilvl w:val="2"/>
        <w:numId w:val="1"/>
      </w:numPr>
      <w:ind w:firstLine="720" w:start="4320" w:end="0"/>
      <w:outlineLvl w:val="2"/>
    </w:pPr>
    <w:rPr>
      <w:rFonts w:ascii="Times New Roman" w:hAnsi="Times New Roman" w:cs="Times New Roman"/>
      <w:b/>
      <w:szCs w:val="20"/>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szCs w:val="20"/>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bCs/>
      <w:sz w:val="24"/>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imes New Roman" w:hAnsi="Times New Roman" w:cs="Times New Roman"/>
      <w:b/>
      <w:sz w:val="36"/>
      <w:szCs w:val="20"/>
    </w:rPr>
  </w:style>
  <w:style w:type="paragraph" w:styleId="BodyText">
    <w:name w:val="Body Text"/>
    <w:basedOn w:val="Normal"/>
    <w:pPr>
      <w:jc w:val="center"/>
    </w:pPr>
    <w:rPr>
      <w:rFonts w:ascii="Times New Roman" w:hAnsi="Times New Roman" w:cs="Times New Roman"/>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Subtitle">
    <w:name w:val="Subtitle"/>
    <w:basedOn w:val="Normal"/>
    <w:next w:val="BodyText"/>
    <w:qFormat/>
    <w:pPr>
      <w:jc w:val="center"/>
    </w:pPr>
    <w:rPr>
      <w:rFonts w:ascii="Times New Roman" w:hAnsi="Times New Roman" w:cs="Times New Roman"/>
      <w:b/>
      <w:sz w:val="32"/>
      <w:szCs w:val="20"/>
    </w:rPr>
  </w:style>
  <w:style w:type="paragraph" w:styleId="BodyText3">
    <w:name w:val="Body Text 3"/>
    <w:basedOn w:val="Normal"/>
    <w:qFormat/>
    <w:pPr/>
    <w:rPr>
      <w:rFonts w:ascii="Times New Roman" w:hAnsi="Times New Roman" w:cs="Times New Roman"/>
      <w:b/>
      <w:szCs w:val="20"/>
    </w:rPr>
  </w:style>
  <w:style w:type="paragraph" w:styleId="BodyText2">
    <w:name w:val="Body Text 2"/>
    <w:basedOn w:val="Normal"/>
    <w:qFormat/>
    <w:pPr>
      <w:spacing w:lineRule="auto" w:line="36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agnuson@aga.org" TargetMode="External"/><Relationship Id="rId3" Type="http://schemas.openxmlformats.org/officeDocument/2006/relationships/hyperlink" Target="mailto:hickmanb@api.org" TargetMode="External"/><Relationship Id="rId4" Type="http://schemas.openxmlformats.org/officeDocument/2006/relationships/hyperlink" Target="mailto:bkalisch@apga.org" TargetMode="External"/><Relationship Id="rId5" Type="http://schemas.openxmlformats.org/officeDocument/2006/relationships/hyperlink" Target="mailto:rpaul@aopl.org" TargetMode="External"/><Relationship Id="rId6" Type="http://schemas.openxmlformats.org/officeDocument/2006/relationships/hyperlink" Target="mailto:medwards@ingaa.org" TargetMode="External"/><Relationship Id="rId7" Type="http://schemas.openxmlformats.org/officeDocument/2006/relationships/hyperlink" Target="http://www.aga.org/" TargetMode="External"/><Relationship Id="rId8" Type="http://schemas.openxmlformats.org/officeDocument/2006/relationships/hyperlink" Target="http://www.api.org/" TargetMode="External"/><Relationship Id="rId9" Type="http://schemas.openxmlformats.org/officeDocument/2006/relationships/hyperlink" Target="http://www.apga.org/" TargetMode="External"/><Relationship Id="rId10" Type="http://schemas.openxmlformats.org/officeDocument/2006/relationships/hyperlink" Target="http://www.aopl.org/" TargetMode="External"/><Relationship Id="rId11" Type="http://schemas.openxmlformats.org/officeDocument/2006/relationships/hyperlink" Target="http://www.ingaa.org/"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2001-11-20T18:48:00Z</dcterms:created>
  <dc:creator>default</dc:creator>
  <dc:description/>
  <dc:language>en-CA</dc:language>
  <cp:lastModifiedBy>Doug Freberg</cp:lastModifiedBy>
  <cp:lastPrinted>2001-11-19T16:11:00Z</cp:lastPrinted>
  <dcterms:modified xsi:type="dcterms:W3CDTF">2001-11-20T18:48:00Z</dcterms:modified>
  <cp:revision>2</cp:revision>
  <dc:subject/>
  <dc:title>Everyday  tons of the oil that fuels our economy and national prosperity flows through the nation’s pipelines</dc:title>
</cp:coreProperties>
</file>