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78"/>
        <w:jc w:val="center"/>
        <w:rPr>
          <w:sz w:val="36"/>
        </w:rPr>
      </w:pPr>
      <w:r>
        <w:rPr>
          <w:b/>
          <w:sz w:val="36"/>
        </w:rPr>
        <w:t>JOHN W. NOLAN, JR.</w:t>
      </w:r>
    </w:p>
    <w:p>
      <w:pPr>
        <w:pStyle w:val="Normal"/>
        <w:pBdr>
          <w:top w:val="thinThickMediumGap" w:sz="24" w:space="1" w:color="000000"/>
        </w:pBdr>
        <w:ind w:end="-378"/>
        <w:jc w:val="center"/>
        <w:rPr>
          <w:sz w:val="22"/>
        </w:rPr>
      </w:pPr>
      <w:r>
        <w:rPr>
          <w:sz w:val="22"/>
        </w:rPr>
        <w:t xml:space="preserve">12315 Meadow Hollow </w:t>
      </w:r>
      <w:r>
        <w:rPr>
          <w:rFonts w:eastAsia="Symbol" w:cs="Symbol" w:ascii="Symbol" w:hAnsi="Symbol"/>
          <w:sz w:val="22"/>
        </w:rPr>
        <w:sym w:font="Symbol" w:char="f0b7"/>
      </w:r>
      <w:r>
        <w:rPr>
          <w:sz w:val="22"/>
        </w:rPr>
        <w:t xml:space="preserve"> Stafford, Texas 77477 </w:t>
      </w:r>
      <w:r>
        <w:rPr>
          <w:rFonts w:eastAsia="Symbol" w:cs="Symbol" w:ascii="Symbol" w:hAnsi="Symbol"/>
          <w:sz w:val="22"/>
        </w:rPr>
        <w:sym w:font="Symbol" w:char="f0b7"/>
      </w:r>
      <w:r>
        <w:rPr>
          <w:sz w:val="22"/>
        </w:rPr>
        <w:t xml:space="preserve"> 713-446-4902 </w:t>
      </w:r>
      <w:r>
        <w:rPr>
          <w:rFonts w:eastAsia="Symbol" w:cs="Symbol" w:ascii="Symbol" w:hAnsi="Symbol"/>
          <w:sz w:val="22"/>
        </w:rPr>
        <w:sym w:font="Symbol" w:char="f0b7"/>
      </w:r>
      <w:r>
        <w:rPr>
          <w:sz w:val="22"/>
        </w:rPr>
        <w:t xml:space="preserve"> </w:t>
      </w:r>
      <w:hyperlink r:id="rId2">
        <w:r>
          <w:rPr>
            <w:rStyle w:val="Hyperlink"/>
            <w:sz w:val="22"/>
          </w:rPr>
          <w:t>jwnolan0216@yahoo.com</w:t>
        </w:r>
      </w:hyperlink>
    </w:p>
    <w:p>
      <w:pPr>
        <w:pStyle w:val="Normal"/>
        <w:pBdr>
          <w:top w:val="thinThickMediumGap" w:sz="24" w:space="1" w:color="000000"/>
        </w:pBdr>
        <w:ind w:end="-378"/>
        <w:jc w:val="center"/>
        <w:rPr>
          <w:sz w:val="16"/>
        </w:rPr>
      </w:pPr>
      <w:r>
        <w:rPr>
          <w:sz w:val="16"/>
        </w:rPr>
      </w:r>
    </w:p>
    <w:p>
      <w:pPr>
        <w:pStyle w:val="Heading1"/>
        <w:ind w:end="-378"/>
        <w:rPr>
          <w:rFonts w:ascii="Times New Roman" w:hAnsi="Times New Roman" w:cs="Times New Roman"/>
        </w:rPr>
      </w:pPr>
      <w:r>
        <w:rPr>
          <w:rFonts w:cs="Times New Roman" w:ascii="Times New Roman" w:hAnsi="Times New Roman"/>
        </w:rPr>
        <w:t>PROFESSIONAL EXPERIENCE</w:t>
      </w:r>
    </w:p>
    <w:p>
      <w:pPr>
        <w:pStyle w:val="Normal"/>
        <w:ind w:end="-378"/>
        <w:jc w:val="center"/>
        <w:rPr>
          <w:rFonts w:ascii="Times New Roman" w:hAnsi="Times New Roman" w:cs="Times New Roman"/>
          <w:b/>
          <w:sz w:val="18"/>
          <w:u w:val="single"/>
        </w:rPr>
      </w:pPr>
      <w:r>
        <w:rPr>
          <w:rFonts w:cs="Times New Roman"/>
          <w:b/>
          <w:sz w:val="18"/>
          <w:u w:val="single"/>
        </w:rPr>
      </w:r>
    </w:p>
    <w:p>
      <w:pPr>
        <w:pStyle w:val="Heading4"/>
        <w:ind w:hanging="0" w:start="0" w:end="-378"/>
        <w:rPr/>
      </w:pPr>
      <w:r>
        <w:rPr>
          <w:i/>
          <w:iCs/>
        </w:rPr>
        <w:t>EARTHSPORTS.COM, INC.</w:t>
      </w:r>
      <w:r>
        <w:rPr/>
        <w:t xml:space="preserve">, </w:t>
      </w:r>
      <w:r>
        <w:rPr>
          <w:b w:val="false"/>
          <w:bCs w:val="false"/>
        </w:rPr>
        <w:t>Houston, Texas</w:t>
      </w:r>
    </w:p>
    <w:p>
      <w:pPr>
        <w:pStyle w:val="Heading2"/>
        <w:ind w:end="-378"/>
        <w:rPr/>
      </w:pPr>
      <w:r>
        <w:rPr/>
        <w:t xml:space="preserve">Co-Founder, Director of Business Planning </w:t>
      </w:r>
      <w:r>
        <w:rPr>
          <w:b w:val="false"/>
          <w:bCs/>
        </w:rPr>
        <w:t>(1999 to Present)</w:t>
      </w:r>
    </w:p>
    <w:p>
      <w:pPr>
        <w:pStyle w:val="Normal"/>
        <w:ind w:end="-378"/>
        <w:rPr/>
      </w:pPr>
      <w:r>
        <w:rPr/>
        <w:t>Earthsports.com is the leading extreme sports website offering dynamic content, community, and commerce for action-paced enthusiasts with a common interest in the lifestyle and culture of action sports.</w:t>
      </w:r>
    </w:p>
    <w:p>
      <w:pPr>
        <w:pStyle w:val="Normal"/>
        <w:ind w:end="-378"/>
        <w:rPr/>
      </w:pPr>
      <w:r>
        <w:rPr/>
      </w:r>
    </w:p>
    <w:p>
      <w:pPr>
        <w:pStyle w:val="BodyText2"/>
        <w:ind w:end="-378"/>
        <w:rPr/>
      </w:pPr>
      <w:r>
        <w:rPr/>
        <w:t>Involved in all phases of company development and operations from conception to daily management; including funding, market research, website layout, content, marketing, and website audit/testing.  Primary responsibilities include business planning, cash management/forecasting, finance/accounting functions, E-commerce operations support, and securing business development and affiliate relationships.</w:t>
      </w:r>
    </w:p>
    <w:p>
      <w:pPr>
        <w:pStyle w:val="Normal"/>
        <w:numPr>
          <w:ilvl w:val="0"/>
          <w:numId w:val="2"/>
        </w:numPr>
        <w:ind w:hanging="216" w:start="270" w:end="-378"/>
        <w:jc w:val="both"/>
        <w:rPr/>
      </w:pPr>
      <w:r>
        <w:rPr/>
        <w:t>Grew revenue over 125% quarter to quarter in 2000 through strategic alliance and affiliate acquisitions</w:t>
      </w:r>
    </w:p>
    <w:p>
      <w:pPr>
        <w:pStyle w:val="Normal"/>
        <w:numPr>
          <w:ilvl w:val="0"/>
          <w:numId w:val="2"/>
        </w:numPr>
        <w:ind w:hanging="216" w:start="270" w:end="-378"/>
        <w:jc w:val="both"/>
        <w:rPr/>
      </w:pPr>
      <w:r>
        <w:rPr/>
        <w:t>Expanded registered membership from 3,000 to 60,000 in a 6 month period ending 12/31/00</w:t>
      </w:r>
    </w:p>
    <w:p>
      <w:pPr>
        <w:pStyle w:val="Normal"/>
        <w:numPr>
          <w:ilvl w:val="0"/>
          <w:numId w:val="2"/>
        </w:numPr>
        <w:ind w:hanging="216" w:start="270" w:end="-378"/>
        <w:jc w:val="both"/>
        <w:rPr/>
      </w:pPr>
      <w:r>
        <w:rPr/>
        <w:t>Worked on the M&amp;A team securing a stock acquisition of Earthsports.com</w:t>
      </w:r>
    </w:p>
    <w:p>
      <w:pPr>
        <w:pStyle w:val="Normal"/>
        <w:numPr>
          <w:ilvl w:val="0"/>
          <w:numId w:val="2"/>
        </w:numPr>
        <w:ind w:hanging="216" w:start="270" w:end="-378"/>
        <w:jc w:val="both"/>
        <w:rPr/>
      </w:pPr>
      <w:r>
        <w:rPr/>
        <w:t>Secured key relationships with our major fulfillment partner, CD Sports, and vital affiliates, Respond.com and The Great Outdoor Emporium, our largest affiliate traffic driver</w:t>
      </w:r>
    </w:p>
    <w:p>
      <w:pPr>
        <w:pStyle w:val="Normal"/>
        <w:numPr>
          <w:ilvl w:val="0"/>
          <w:numId w:val="2"/>
        </w:numPr>
        <w:ind w:hanging="216" w:start="270" w:end="-378"/>
        <w:jc w:val="both"/>
        <w:rPr/>
      </w:pPr>
      <w:r>
        <w:rPr/>
        <w:t xml:space="preserve">Website accolades include Yahoo! Internet Life, PC Data Online, TopNine.com, Internet Cool Guide, Ububu.com, RatingWonders.com, and MaxManager.com (see </w:t>
      </w:r>
      <w:hyperlink r:id="rId3">
        <w:r>
          <w:rPr>
            <w:rStyle w:val="Hyperlink"/>
          </w:rPr>
          <w:t>http://www.earthsports.com/media/accolades.asp</w:t>
        </w:r>
      </w:hyperlink>
      <w:r>
        <w:rPr/>
        <w:t>)</w:t>
      </w:r>
    </w:p>
    <w:p>
      <w:pPr>
        <w:pStyle w:val="Heading2"/>
        <w:ind w:end="-378"/>
        <w:rPr>
          <w:rFonts w:ascii="Times New Roman" w:hAnsi="Times New Roman" w:cs="Times New Roman"/>
        </w:rPr>
      </w:pPr>
      <w:r>
        <w:rPr>
          <w:rFonts w:cs="Times New Roman" w:ascii="Times New Roman" w:hAnsi="Times New Roman"/>
        </w:rPr>
      </w:r>
    </w:p>
    <w:p>
      <w:pPr>
        <w:pStyle w:val="Heading5"/>
        <w:ind w:hanging="0" w:start="0" w:end="-378"/>
        <w:rPr/>
      </w:pPr>
      <w:r>
        <w:rPr>
          <w:i/>
          <w:iCs/>
          <w:sz w:val="22"/>
        </w:rPr>
        <w:t>ELECTRONIC DATA SYSTEMS (EDS)</w:t>
      </w:r>
      <w:r>
        <w:rPr>
          <w:sz w:val="22"/>
        </w:rPr>
        <w:t xml:space="preserve">, </w:t>
      </w:r>
      <w:r>
        <w:rPr>
          <w:b w:val="false"/>
          <w:bCs w:val="false"/>
          <w:sz w:val="22"/>
        </w:rPr>
        <w:t>Longmont, Colorado</w:t>
      </w:r>
    </w:p>
    <w:p>
      <w:pPr>
        <w:pStyle w:val="Heading3"/>
        <w:ind w:end="-378"/>
        <w:rPr>
          <w:rFonts w:ascii="Times New Roman" w:hAnsi="Times New Roman" w:cs="Times New Roman"/>
          <w:sz w:val="22"/>
        </w:rPr>
      </w:pPr>
      <w:r>
        <w:rPr>
          <w:rFonts w:cs="Times New Roman" w:ascii="Times New Roman" w:hAnsi="Times New Roman"/>
          <w:sz w:val="22"/>
        </w:rPr>
        <w:t xml:space="preserve">Financial Controller </w:t>
      </w:r>
      <w:r>
        <w:rPr>
          <w:rFonts w:cs="Times New Roman" w:ascii="Times New Roman" w:hAnsi="Times New Roman"/>
          <w:b w:val="false"/>
          <w:bCs/>
          <w:sz w:val="22"/>
        </w:rPr>
        <w:t>(7/99 to 1/00)</w:t>
      </w:r>
    </w:p>
    <w:p>
      <w:pPr>
        <w:pStyle w:val="BodyText"/>
        <w:ind w:end="-378"/>
        <w:rPr/>
      </w:pPr>
      <w:r>
        <w:rPr/>
        <w:t>Reported to the Financial Manager of the Publications &amp; Associations division.  Responsible for financial support of telephone customer service operations in Knoxville, IA and Crestview, FL, and database marketing services in Louisville, CO.  This included annual budgeting, management reporting (close, outlook, &amp; ad hoc), month end close, and variance analysis.</w:t>
      </w:r>
    </w:p>
    <w:p>
      <w:pPr>
        <w:pStyle w:val="Normal"/>
        <w:numPr>
          <w:ilvl w:val="0"/>
          <w:numId w:val="2"/>
        </w:numPr>
        <w:ind w:hanging="216" w:start="270" w:end="-378"/>
        <w:jc w:val="both"/>
        <w:rPr/>
      </w:pPr>
      <w:r>
        <w:rPr/>
        <w:t>Trained financial analysts/managers in the P&amp;A division on GCFMR (reporting tool which queries Oracle database)</w:t>
      </w:r>
    </w:p>
    <w:p>
      <w:pPr>
        <w:pStyle w:val="Normal"/>
        <w:numPr>
          <w:ilvl w:val="0"/>
          <w:numId w:val="2"/>
        </w:numPr>
        <w:ind w:hanging="216" w:start="270" w:end="-378"/>
        <w:jc w:val="both"/>
        <w:rPr>
          <w:rFonts w:ascii="CG Times" w:hAnsi="CG Times" w:cs="CG Times"/>
        </w:rPr>
      </w:pPr>
      <w:r>
        <w:rPr/>
        <w:t>Designed standard monthly reports in excel for the financial analysts/managers in the P&amp;A division</w:t>
      </w:r>
    </w:p>
    <w:p>
      <w:pPr>
        <w:pStyle w:val="Normal"/>
        <w:ind w:end="-378"/>
        <w:rPr>
          <w:rFonts w:ascii="CG Times" w:hAnsi="CG Times" w:cs="CG Times"/>
          <w:b/>
          <w:sz w:val="16"/>
        </w:rPr>
      </w:pPr>
      <w:r>
        <w:rPr>
          <w:rFonts w:cs="CG Times" w:ascii="CG Times" w:hAnsi="CG Times"/>
          <w:b/>
          <w:sz w:val="16"/>
        </w:rPr>
      </w:r>
    </w:p>
    <w:p>
      <w:pPr>
        <w:pStyle w:val="Heading2"/>
        <w:ind w:end="-378"/>
        <w:rPr>
          <w:rFonts w:ascii="Times New Roman" w:hAnsi="Times New Roman" w:cs="Times New Roman"/>
          <w:bCs/>
        </w:rPr>
      </w:pPr>
      <w:r>
        <w:rPr>
          <w:i/>
          <w:iCs/>
        </w:rPr>
        <w:t>ELECTRONIC DATA SYSTEMS (EDS)</w:t>
      </w:r>
      <w:r>
        <w:rPr>
          <w:rFonts w:cs="Times New Roman" w:ascii="Times New Roman" w:hAnsi="Times New Roman"/>
          <w:bCs/>
        </w:rPr>
        <w:t xml:space="preserve">, </w:t>
      </w:r>
      <w:r>
        <w:rPr>
          <w:rFonts w:cs="Times New Roman" w:ascii="Times New Roman" w:hAnsi="Times New Roman"/>
          <w:b w:val="false"/>
        </w:rPr>
        <w:t>Louisville, Colorado</w:t>
      </w:r>
    </w:p>
    <w:p>
      <w:pPr>
        <w:pStyle w:val="Normal"/>
        <w:ind w:end="-378"/>
        <w:rPr>
          <w:b/>
          <w:sz w:val="22"/>
        </w:rPr>
      </w:pPr>
      <w:r>
        <w:rPr>
          <w:b/>
          <w:sz w:val="22"/>
        </w:rPr>
        <w:t xml:space="preserve">Advanced Financial Analyst </w:t>
      </w:r>
      <w:r>
        <w:rPr>
          <w:bCs/>
          <w:sz w:val="22"/>
        </w:rPr>
        <w:t>(7/97 to 7/99)</w:t>
      </w:r>
    </w:p>
    <w:p>
      <w:pPr>
        <w:pStyle w:val="Normal"/>
        <w:ind w:end="-378"/>
        <w:rPr/>
      </w:pPr>
      <w:r>
        <w:rPr/>
        <w:t>Reported to the Manager of Financial Planning &amp; Analysis.  Responsible for annual budgeting, management reporting (close, outlook, &amp; ad hoc), variance analysis, report consolidation, and maintaining the integrity of the financial database.  Provided financial support to the Real Estate/Facilities group.  Assisted in preparation of presentations to senior management.</w:t>
      </w:r>
    </w:p>
    <w:p>
      <w:pPr>
        <w:pStyle w:val="Normal"/>
        <w:numPr>
          <w:ilvl w:val="0"/>
          <w:numId w:val="2"/>
        </w:numPr>
        <w:ind w:hanging="216" w:start="270" w:end="-378"/>
        <w:jc w:val="both"/>
        <w:rPr/>
      </w:pPr>
      <w:r>
        <w:rPr/>
        <w:t>Provided due diligence support for $275MM acquisition of Neodata Services, Inc. by EDS</w:t>
      </w:r>
    </w:p>
    <w:p>
      <w:pPr>
        <w:pStyle w:val="Normal"/>
        <w:numPr>
          <w:ilvl w:val="0"/>
          <w:numId w:val="3"/>
        </w:numPr>
        <w:ind w:hanging="216" w:start="270" w:end="-378"/>
        <w:jc w:val="both"/>
        <w:rPr/>
      </w:pPr>
      <w:r>
        <w:rPr/>
        <w:t>Assisted with the financial integration of Neodata and the EDS CustomerSolutions business line:  Consolidated budgets, facilitated reporting standardization, and provided training on GCFMR</w:t>
      </w:r>
    </w:p>
    <w:p>
      <w:pPr>
        <w:pStyle w:val="Normal"/>
        <w:numPr>
          <w:ilvl w:val="0"/>
          <w:numId w:val="3"/>
        </w:numPr>
        <w:ind w:hanging="216" w:start="270" w:end="-378"/>
        <w:jc w:val="both"/>
        <w:rPr/>
      </w:pPr>
      <w:r>
        <w:rPr/>
        <w:t>Successful completion of 1998 and 1999 budgets</w:t>
      </w:r>
    </w:p>
    <w:p>
      <w:pPr>
        <w:pStyle w:val="Normal"/>
        <w:numPr>
          <w:ilvl w:val="0"/>
          <w:numId w:val="3"/>
        </w:numPr>
        <w:ind w:hanging="216" w:start="270" w:end="-378"/>
        <w:jc w:val="both"/>
        <w:rPr/>
      </w:pPr>
      <w:r>
        <w:rPr/>
        <w:t>Created automated reporting models, which streamlined the reporting process</w:t>
      </w:r>
    </w:p>
    <w:p>
      <w:pPr>
        <w:pStyle w:val="Normal"/>
        <w:ind w:end="-378"/>
        <w:rPr>
          <w:sz w:val="16"/>
        </w:rPr>
      </w:pPr>
      <w:r>
        <w:rPr>
          <w:sz w:val="16"/>
        </w:rPr>
      </w:r>
    </w:p>
    <w:p>
      <w:pPr>
        <w:pStyle w:val="Heading2"/>
        <w:ind w:end="-378"/>
        <w:rPr>
          <w:rFonts w:ascii="Times New Roman" w:hAnsi="Times New Roman" w:cs="Times New Roman"/>
          <w:bCs/>
        </w:rPr>
      </w:pPr>
      <w:r>
        <w:rPr>
          <w:i/>
          <w:iCs/>
        </w:rPr>
        <w:t>ELECTRONIC DATA SYSTEMS (EDS)</w:t>
      </w:r>
      <w:r>
        <w:rPr>
          <w:rFonts w:cs="Times New Roman" w:ascii="Times New Roman" w:hAnsi="Times New Roman"/>
          <w:bCs/>
        </w:rPr>
        <w:t xml:space="preserve">, </w:t>
      </w:r>
      <w:r>
        <w:rPr>
          <w:rFonts w:cs="Times New Roman" w:ascii="Times New Roman" w:hAnsi="Times New Roman"/>
          <w:b w:val="false"/>
        </w:rPr>
        <w:t>Louisville, Colorado</w:t>
      </w:r>
    </w:p>
    <w:p>
      <w:pPr>
        <w:pStyle w:val="Normal"/>
        <w:ind w:end="-378"/>
        <w:rPr>
          <w:b/>
          <w:sz w:val="22"/>
        </w:rPr>
      </w:pPr>
      <w:r>
        <w:rPr>
          <w:b/>
          <w:sz w:val="22"/>
        </w:rPr>
        <w:t xml:space="preserve">Senior Financial Analyst </w:t>
      </w:r>
      <w:r>
        <w:rPr>
          <w:bCs/>
          <w:sz w:val="22"/>
        </w:rPr>
        <w:t>(6/94 to 7/97)</w:t>
      </w:r>
    </w:p>
    <w:p>
      <w:pPr>
        <w:pStyle w:val="Normal"/>
        <w:ind w:end="-378"/>
        <w:jc w:val="both"/>
        <w:rPr/>
      </w:pPr>
      <w:r>
        <w:rPr/>
        <w:t>Reported to the Treasurer.  Hired/supervised financial analyst.  Responsible for the daily corporate cash management function, cash flow forecasting (built weekly cash flow model), short-term debt and investment management, bank relations, treasury budget preparation, and letters of credit.  Managed daily borrowing and monthly borrowing base reporting for Revolving Loans.</w:t>
      </w:r>
    </w:p>
    <w:p>
      <w:pPr>
        <w:pStyle w:val="Normal"/>
        <w:numPr>
          <w:ilvl w:val="0"/>
          <w:numId w:val="3"/>
        </w:numPr>
        <w:ind w:hanging="216" w:start="270" w:end="-378"/>
        <w:jc w:val="both"/>
        <w:rPr/>
      </w:pPr>
      <w:r>
        <w:rPr/>
        <w:t>Managed project to upgrade corporate cash management services, resulting in:  transition to new bank; annual savings of over $30K in bank service charges; significant enhancements to banking products and services</w:t>
      </w:r>
    </w:p>
    <w:p>
      <w:pPr>
        <w:pStyle w:val="Normal"/>
        <w:numPr>
          <w:ilvl w:val="0"/>
          <w:numId w:val="3"/>
        </w:numPr>
        <w:ind w:hanging="216" w:start="270" w:end="-378"/>
        <w:jc w:val="both"/>
        <w:rPr/>
      </w:pPr>
      <w:r>
        <w:rPr/>
        <w:t>Assisted in project securing $40MM Revolving Loan</w:t>
      </w:r>
    </w:p>
    <w:p>
      <w:pPr>
        <w:pStyle w:val="Normal"/>
        <w:numPr>
          <w:ilvl w:val="0"/>
          <w:numId w:val="3"/>
        </w:numPr>
        <w:ind w:hanging="216" w:start="270" w:end="-378"/>
        <w:jc w:val="both"/>
        <w:rPr/>
      </w:pPr>
      <w:r>
        <w:rPr/>
        <w:t>Provided due diligence support for three acquisitions</w:t>
      </w:r>
    </w:p>
    <w:p>
      <w:pPr>
        <w:pStyle w:val="Normal"/>
        <w:numPr>
          <w:ilvl w:val="0"/>
          <w:numId w:val="3"/>
        </w:numPr>
        <w:ind w:hanging="216" w:start="270" w:end="-378"/>
        <w:jc w:val="both"/>
        <w:rPr/>
      </w:pPr>
      <w:r>
        <w:rPr/>
        <w:t>Successfully managed working capital during extended periods of negative cash flow</w:t>
      </w:r>
    </w:p>
    <w:p>
      <w:pPr>
        <w:pStyle w:val="Normal"/>
        <w:numPr>
          <w:ilvl w:val="0"/>
          <w:numId w:val="3"/>
        </w:numPr>
        <w:ind w:hanging="216" w:start="270" w:end="-378"/>
        <w:jc w:val="both"/>
        <w:rPr/>
      </w:pPr>
      <w:r>
        <w:rPr/>
        <w:t>Secured 9 letters of credit for the company, totaling over $6.3MM</w:t>
      </w:r>
    </w:p>
    <w:p>
      <w:pPr>
        <w:pStyle w:val="Normal"/>
        <w:numPr>
          <w:ilvl w:val="0"/>
          <w:numId w:val="3"/>
        </w:numPr>
        <w:ind w:hanging="216" w:start="270" w:end="-378"/>
        <w:jc w:val="both"/>
        <w:rPr/>
      </w:pPr>
      <w:r>
        <w:rPr/>
        <w:t>Streamlined bank account structure, closing over 60 bank accounts</w:t>
      </w:r>
    </w:p>
    <w:p>
      <w:pPr>
        <w:pStyle w:val="Normal"/>
        <w:numPr>
          <w:ilvl w:val="0"/>
          <w:numId w:val="3"/>
        </w:numPr>
        <w:ind w:hanging="216" w:start="270" w:end="-378"/>
        <w:jc w:val="both"/>
        <w:rPr/>
      </w:pPr>
      <w:r>
        <w:rPr/>
        <w:t>Developed and integrated policies and procedures for the cash management function</w:t>
      </w:r>
    </w:p>
    <w:p>
      <w:pPr>
        <w:pStyle w:val="Normal"/>
        <w:ind w:end="-378"/>
        <w:rPr>
          <w:b/>
          <w:sz w:val="16"/>
        </w:rPr>
      </w:pPr>
      <w:r>
        <w:rPr>
          <w:b/>
          <w:sz w:val="16"/>
        </w:rPr>
      </w:r>
    </w:p>
    <w:p>
      <w:pPr>
        <w:pStyle w:val="Heading6"/>
        <w:ind w:end="-378"/>
        <w:rPr>
          <w:bCs/>
          <w:sz w:val="22"/>
        </w:rPr>
      </w:pPr>
      <w:r>
        <w:rPr>
          <w:i/>
          <w:iCs/>
          <w:sz w:val="22"/>
        </w:rPr>
        <w:t>ELECTRONIC DATA SYSTEMS (EDS)</w:t>
      </w:r>
      <w:r>
        <w:rPr>
          <w:bCs/>
          <w:sz w:val="22"/>
        </w:rPr>
        <w:t xml:space="preserve">, </w:t>
      </w:r>
      <w:r>
        <w:rPr>
          <w:b w:val="false"/>
          <w:sz w:val="22"/>
        </w:rPr>
        <w:t>Dallas, Texas/Louisville, Colorado</w:t>
      </w:r>
    </w:p>
    <w:p>
      <w:pPr>
        <w:pStyle w:val="Normal"/>
        <w:ind w:end="-378"/>
        <w:rPr>
          <w:b/>
          <w:sz w:val="22"/>
        </w:rPr>
      </w:pPr>
      <w:r>
        <w:rPr>
          <w:b/>
          <w:sz w:val="22"/>
        </w:rPr>
        <w:t xml:space="preserve">Financial Analyst </w:t>
      </w:r>
      <w:r>
        <w:rPr>
          <w:bCs/>
          <w:sz w:val="22"/>
        </w:rPr>
        <w:t>(2/93 to 6/94)</w:t>
      </w:r>
    </w:p>
    <w:p>
      <w:pPr>
        <w:pStyle w:val="Normal"/>
        <w:ind w:end="-378"/>
        <w:jc w:val="both"/>
        <w:rPr/>
      </w:pPr>
      <w:r>
        <w:rPr/>
        <w:t>Reported to the Treasurer.  Responsible for the daily corporate cash management function, foreign exchange purchase and analysis, debt administration, cash flow forecasting, bank account maintenance, and management of the cash applications function for the Subscription Fulfillment division.</w:t>
      </w:r>
    </w:p>
    <w:p>
      <w:pPr>
        <w:pStyle w:val="Normal"/>
        <w:numPr>
          <w:ilvl w:val="0"/>
          <w:numId w:val="3"/>
        </w:numPr>
        <w:ind w:hanging="216" w:start="270" w:end="-378"/>
        <w:jc w:val="both"/>
        <w:rPr/>
      </w:pPr>
      <w:r>
        <w:rPr/>
        <w:t>Assisted in successful completion of a $163MM Senior Note refinancing and debt restructuring</w:t>
      </w:r>
    </w:p>
    <w:p>
      <w:pPr>
        <w:pStyle w:val="Normal"/>
        <w:numPr>
          <w:ilvl w:val="0"/>
          <w:numId w:val="3"/>
        </w:numPr>
        <w:ind w:hanging="216" w:start="270" w:end="-378"/>
        <w:jc w:val="both"/>
        <w:rPr/>
      </w:pPr>
      <w:r>
        <w:rPr/>
        <w:t>Managed working capital to avoid (and eventually limit) use of revolving line of credit</w:t>
      </w:r>
    </w:p>
    <w:p>
      <w:pPr>
        <w:pStyle w:val="Normal"/>
        <w:numPr>
          <w:ilvl w:val="0"/>
          <w:numId w:val="3"/>
        </w:numPr>
        <w:ind w:hanging="216" w:start="270" w:end="-378"/>
        <w:jc w:val="both"/>
        <w:rPr/>
      </w:pPr>
      <w:r>
        <w:rPr/>
        <w:t>Assisted in preparation of presentations to the board of directors, lenders, and bondholders</w:t>
      </w:r>
    </w:p>
    <w:p>
      <w:pPr>
        <w:pStyle w:val="Normal"/>
        <w:numPr>
          <w:ilvl w:val="0"/>
          <w:numId w:val="3"/>
        </w:numPr>
        <w:ind w:hanging="216" w:start="270" w:end="-378"/>
        <w:jc w:val="both"/>
        <w:rPr/>
      </w:pPr>
      <w:r>
        <w:rPr/>
        <w:t>Created daily cash report for management and monthly closing report for accounting</w:t>
      </w:r>
    </w:p>
    <w:p>
      <w:pPr>
        <w:pStyle w:val="Normal"/>
        <w:numPr>
          <w:ilvl w:val="0"/>
          <w:numId w:val="3"/>
        </w:numPr>
        <w:ind w:hanging="216" w:start="270" w:end="-378"/>
        <w:jc w:val="both"/>
        <w:rPr/>
      </w:pPr>
      <w:r>
        <w:rPr/>
        <w:t>Set up daily sweep accounts allowing for maximum investment of cash on hand ($0.5MM to $5.0MM)</w:t>
      </w:r>
    </w:p>
    <w:p>
      <w:pPr>
        <w:pStyle w:val="Normal"/>
        <w:ind w:end="-378"/>
        <w:rPr>
          <w:b/>
          <w:sz w:val="16"/>
        </w:rPr>
      </w:pPr>
      <w:r>
        <w:rPr>
          <w:b/>
          <w:sz w:val="16"/>
        </w:rPr>
      </w:r>
    </w:p>
    <w:p>
      <w:pPr>
        <w:pStyle w:val="Heading1"/>
        <w:ind w:end="-378"/>
        <w:rPr>
          <w:rFonts w:ascii="Times New Roman" w:hAnsi="Times New Roman" w:cs="Times New Roman"/>
        </w:rPr>
      </w:pPr>
      <w:r>
        <w:rPr>
          <w:rFonts w:cs="Times New Roman" w:ascii="Times New Roman" w:hAnsi="Times New Roman"/>
        </w:rPr>
        <w:t>EDUCATION</w:t>
      </w:r>
    </w:p>
    <w:p>
      <w:pPr>
        <w:pStyle w:val="Normal"/>
        <w:ind w:end="-378"/>
        <w:jc w:val="center"/>
        <w:rPr>
          <w:rFonts w:ascii="Times New Roman" w:hAnsi="Times New Roman" w:cs="Times New Roman"/>
          <w:b/>
          <w:sz w:val="12"/>
          <w:u w:val="single"/>
        </w:rPr>
      </w:pPr>
      <w:r>
        <w:rPr>
          <w:rFonts w:cs="Times New Roman"/>
          <w:b/>
          <w:sz w:val="12"/>
          <w:u w:val="single"/>
        </w:rPr>
      </w:r>
    </w:p>
    <w:p>
      <w:pPr>
        <w:pStyle w:val="Normal"/>
        <w:tabs>
          <w:tab w:val="clear" w:pos="720"/>
          <w:tab w:val="left" w:pos="7920" w:leader="none"/>
        </w:tabs>
        <w:ind w:end="-378"/>
        <w:rPr/>
      </w:pPr>
      <w:r>
        <w:rPr/>
        <w:t>Texas Christian University, Fort Worth, Texas, 1988-1992</w:t>
        <w:tab/>
        <w:t>GPA: 3.6/4.0</w:t>
      </w:r>
    </w:p>
    <w:p>
      <w:pPr>
        <w:pStyle w:val="Normal"/>
        <w:tabs>
          <w:tab w:val="clear" w:pos="720"/>
          <w:tab w:val="left" w:pos="7920" w:leader="none"/>
        </w:tabs>
        <w:ind w:end="-378"/>
        <w:rPr/>
      </w:pPr>
      <w:r>
        <w:rPr/>
        <w:t>Bachelor of Business Administration in Finance/Real Estate</w:t>
        <w:tab/>
        <w:t>Cum Laude</w:t>
      </w:r>
    </w:p>
    <w:p>
      <w:pPr>
        <w:pStyle w:val="Normal"/>
        <w:ind w:end="-378"/>
        <w:rPr>
          <w:sz w:val="16"/>
        </w:rPr>
      </w:pPr>
      <w:r>
        <w:rPr>
          <w:sz w:val="16"/>
        </w:rPr>
      </w:r>
    </w:p>
    <w:p>
      <w:pPr>
        <w:pStyle w:val="Normal"/>
        <w:ind w:end="-378"/>
        <w:jc w:val="center"/>
        <w:rPr>
          <w:b/>
          <w:sz w:val="24"/>
          <w:u w:val="single"/>
        </w:rPr>
      </w:pPr>
      <w:r>
        <w:rPr>
          <w:b/>
          <w:sz w:val="24"/>
          <w:u w:val="single"/>
        </w:rPr>
        <w:t>COMPUTER SKILLS</w:t>
      </w:r>
    </w:p>
    <w:p>
      <w:pPr>
        <w:pStyle w:val="Normal"/>
        <w:ind w:end="-378"/>
        <w:jc w:val="center"/>
        <w:rPr>
          <w:b/>
          <w:sz w:val="12"/>
          <w:u w:val="single"/>
        </w:rPr>
      </w:pPr>
      <w:r>
        <w:rPr>
          <w:b/>
          <w:sz w:val="12"/>
          <w:u w:val="single"/>
        </w:rPr>
      </w:r>
    </w:p>
    <w:p>
      <w:pPr>
        <w:pStyle w:val="Normal"/>
        <w:tabs>
          <w:tab w:val="clear" w:pos="720"/>
          <w:tab w:val="left" w:pos="7920" w:leader="none"/>
        </w:tabs>
        <w:ind w:end="-378"/>
        <w:rPr/>
      </w:pPr>
      <w:r>
        <w:rPr/>
        <w:t>Microsoft Excel, Word, PowerPoint</w:t>
        <w:tab/>
        <w:t>Oracle Financials</w:t>
      </w:r>
    </w:p>
    <w:p>
      <w:pPr>
        <w:pStyle w:val="Normal"/>
        <w:tabs>
          <w:tab w:val="clear" w:pos="720"/>
          <w:tab w:val="left" w:pos="7920" w:leader="none"/>
        </w:tabs>
        <w:ind w:end="-378"/>
        <w:rPr/>
      </w:pPr>
      <w:r>
        <w:rPr/>
        <w:t>Cash Management Systems</w:t>
        <w:tab/>
        <w:t>Hyperion Pillar</w:t>
      </w:r>
    </w:p>
    <w:p>
      <w:pPr>
        <w:pStyle w:val="Normal"/>
        <w:tabs>
          <w:tab w:val="clear" w:pos="720"/>
          <w:tab w:val="left" w:pos="7920" w:leader="none"/>
        </w:tabs>
        <w:ind w:end="-378"/>
        <w:rPr/>
      </w:pPr>
      <w:r>
        <w:rPr/>
        <w:t>GCFMR</w:t>
        <w:tab/>
        <w:t>DataDirect Explorer</w:t>
      </w:r>
    </w:p>
    <w:p>
      <w:pPr>
        <w:pStyle w:val="Normal"/>
        <w:tabs>
          <w:tab w:val="clear" w:pos="720"/>
          <w:tab w:val="left" w:pos="7920" w:leader="none"/>
        </w:tabs>
        <w:ind w:end="-378"/>
        <w:rPr/>
      </w:pPr>
      <w:r>
        <w:rPr/>
        <w:t>Platinum</w:t>
        <w:tab/>
        <w:t>Quickbooks Pro</w:t>
      </w:r>
    </w:p>
    <w:p>
      <w:pPr>
        <w:pStyle w:val="Normal"/>
        <w:tabs>
          <w:tab w:val="clear" w:pos="720"/>
          <w:tab w:val="left" w:pos="7560" w:leader="none"/>
        </w:tabs>
        <w:ind w:end="-378"/>
        <w:rPr/>
      </w:pPr>
      <w:r>
        <w:rPr/>
        <w:t>Thinkworks</w:t>
        <w:tab/>
      </w:r>
    </w:p>
    <w:sectPr>
      <w:type w:val="nextPage"/>
      <w:pgSz w:w="12240" w:h="15840"/>
      <w:pgMar w:left="1152" w:right="1296" w:gutter="0" w:header="0" w:top="57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
        </w:tabs>
        <w:ind w:start="270" w:hanging="216"/>
      </w:pPr>
      <w:rPr>
        <w:rFonts w:ascii="Symbol" w:hAnsi="Symbol" w:cs="Symbol" w:hint="default"/>
        <w:sz w:val="18"/>
      </w:rPr>
    </w:lvl>
  </w:abstractNum>
  <w:abstractNum w:abstractNumId="3">
    <w:lvl w:ilvl="0">
      <w:numFmt w:val="bullet"/>
      <w:lvlText w:val=""/>
      <w:lvlJc w:val="start"/>
      <w:pPr>
        <w:tabs>
          <w:tab w:val="num" w:pos="216"/>
        </w:tabs>
        <w:ind w:start="270" w:hanging="216"/>
      </w:pPr>
      <w:rPr>
        <w:rFonts w:ascii="Symbol" w:hAnsi="Symbol" w:cs="Symbol" w:hint="default"/>
        <w:sz w:val="18"/>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540"/>
      <w:jc w:val="center"/>
      <w:outlineLvl w:val="0"/>
    </w:pPr>
    <w:rPr>
      <w:rFonts w:ascii="CG Times" w:hAnsi="CG Times" w:cs="CG Times"/>
      <w:b/>
      <w:sz w:val="24"/>
      <w:u w:val="single"/>
    </w:rPr>
  </w:style>
  <w:style w:type="paragraph" w:styleId="Heading2">
    <w:name w:val="heading 2"/>
    <w:basedOn w:val="Normal"/>
    <w:next w:val="Normal"/>
    <w:qFormat/>
    <w:pPr>
      <w:keepNext w:val="true"/>
      <w:numPr>
        <w:ilvl w:val="1"/>
        <w:numId w:val="1"/>
      </w:numPr>
      <w:ind w:hanging="0" w:start="0" w:end="-540"/>
      <w:outlineLvl w:val="1"/>
    </w:pPr>
    <w:rPr>
      <w:rFonts w:ascii="CG Times" w:hAnsi="CG Times" w:cs="CG Times"/>
      <w:b/>
      <w:sz w:val="22"/>
    </w:rPr>
  </w:style>
  <w:style w:type="paragraph" w:styleId="Heading3">
    <w:name w:val="heading 3"/>
    <w:basedOn w:val="Normal"/>
    <w:next w:val="Normal"/>
    <w:qFormat/>
    <w:pPr>
      <w:keepNext w:val="true"/>
      <w:numPr>
        <w:ilvl w:val="2"/>
        <w:numId w:val="1"/>
      </w:numPr>
      <w:ind w:hanging="0" w:start="0" w:end="-540"/>
      <w:jc w:val="both"/>
      <w:outlineLvl w:val="2"/>
    </w:pPr>
    <w:rPr>
      <w:rFonts w:ascii="CG Times" w:hAnsi="CG Times" w:cs="CG Times"/>
      <w:b/>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0" w:end="-540"/>
      <w:outlineLvl w:val="5"/>
    </w:pPr>
    <w:rPr>
      <w:b/>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18"/>
    </w:rPr>
  </w:style>
  <w:style w:type="character" w:styleId="WW8NumSt1z0">
    <w:name w:val="WW8NumSt1z0"/>
    <w:qFormat/>
    <w:rPr>
      <w:rFonts w:ascii="Symbol" w:hAnsi="Symbol" w:cs="Symbol"/>
      <w:sz w:val="18"/>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5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558"/>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wnolan0216@yahoo.com" TargetMode="External"/><Relationship Id="rId3" Type="http://schemas.openxmlformats.org/officeDocument/2006/relationships/hyperlink" Target="http://www.earthsports.com/media/accolades.asp"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2001-05-16T16:35:00Z</dcterms:created>
  <dc:creator>Dale Roy</dc:creator>
  <dc:description/>
  <dc:language>en-CA</dc:language>
  <cp:lastModifiedBy>ldelgado</cp:lastModifiedBy>
  <cp:lastPrinted>2001-05-16T14:02:00Z</cp:lastPrinted>
  <dcterms:modified xsi:type="dcterms:W3CDTF">2001-05-16T16:35:00Z</dcterms:modified>
  <cp:revision>2</cp:revision>
  <dc:subject/>
  <dc:title>JOHN W. NOLAN, JR.</dc:title>
</cp:coreProperties>
</file>