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t>June 29, 2000</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Mr. John T.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President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Duke Energy LNG Sales, Inc.</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P.O. Box 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5400 Westheimer Court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Houston, Texas 77251-1642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ab/>
        <w:t>Re:</w:t>
        <w:tab/>
        <w:t>Redetermination / Notice of Early Termination</w:t>
        <w:tab/>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Dear Mr.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t>Citrus Trading Corp. (“Citrus”) has received your June 26, 2000 letter in which Duke Energy LNG Sales, Inc. (“Duke”) alleges that a “Triggering Event” under the December 22, 1998 Master Firm Purchase/Sale Agreement has occurred.  Citrus does not agree with Duke’s position.  Notwithstanding, this letter will serve as Citrus’ unequivocal, unconditional assurance that Citrus will participate in the price redetermination procedure contemplated by Article III, Sections 7 and 8 of the Transaction Agreement.  Citrus accepts Duke’s suggestion of working together to establish a schedule to carry out the price redetermination procedure prior to September 1, 2001.</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t>Citrus’ agreement notwithstanding, Duke cannot ignore the language of Article III, Section 7 of the Amendment and Restatement of Gas Purchase Contract (the “Transaction Agreement”), which specifically refers to the third “contract quarter” of the year 2000, not, as Duke appears to contend, the third quarter of that year.  As defined in the Transaction Agreement, a “Contract Year” means a period of twelve consecutive months beginning on the first Gas Day of September in each year.  The Transaction Agreement is clear that a request for redetermination must be made within 10 days of the start of the third contract quarter, which began March 1.  Citrus has never led Duke to believe otherwise.  If you disagree, or you believe the required notice was given, please let me know the basis for your position.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t>Further, Section 7 of the Transaction Agreement outlines that if no request is made, “the pricing and escalation provisions then in effect shall remain in effect for the remaining term of this Contract.”  If the appropriate tribunal determines that the required request was not made, the consequences to both parties are clear.  Citrus reserves the right to seek a judicial determination concerning whether the required request was made in accordance with the language of the Transaction Agreement.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ind w:end="36"/>
        <w:rPr/>
      </w:pPr>
      <w:r>
        <w:rPr/>
        <w:t>Please call me to discuss a schedule for the price redetermination.</w:t>
      </w:r>
    </w:p>
    <w:p>
      <w:pPr>
        <w:pStyle w:val="Normal"/>
        <w:ind w:end="36"/>
        <w:rPr/>
      </w:pPr>
      <w:r>
        <w:rPr/>
      </w:r>
    </w:p>
    <w:p>
      <w:pPr>
        <w:pStyle w:val="Normal"/>
        <w:ind w:end="36"/>
        <w:rPr/>
      </w:pPr>
      <w:r>
        <w:rPr/>
        <w:tab/>
        <w:tab/>
        <w:tab/>
        <w:tab/>
        <w:tab/>
        <w:tab/>
        <w:t>Very truly yours,</w:t>
      </w:r>
    </w:p>
    <w:p>
      <w:pPr>
        <w:pStyle w:val="Normal"/>
        <w:ind w:end="36"/>
        <w:rPr/>
      </w:pPr>
      <w:r>
        <w:rPr/>
      </w:r>
    </w:p>
    <w:p>
      <w:pPr>
        <w:pStyle w:val="Normal"/>
        <w:ind w:end="36"/>
        <w:rPr/>
      </w:pPr>
      <w:r>
        <w:rPr/>
      </w:r>
    </w:p>
    <w:p>
      <w:pPr>
        <w:pStyle w:val="Normal"/>
        <w:ind w:end="36"/>
        <w:rPr/>
      </w:pPr>
      <w:r>
        <w:rPr/>
      </w:r>
    </w:p>
    <w:p>
      <w:pPr>
        <w:pStyle w:val="Normal"/>
        <w:ind w:end="36"/>
        <w:rPr/>
      </w:pPr>
      <w:r>
        <w:rPr/>
        <w:tab/>
        <w:tab/>
        <w:tab/>
        <w:tab/>
        <w:tab/>
        <w:tab/>
        <w:t>Janet R. Dietrich</w:t>
      </w:r>
    </w:p>
    <w:p>
      <w:pPr>
        <w:pStyle w:val="Normal"/>
        <w:ind w:end="36"/>
        <w:rPr/>
      </w:pPr>
      <w:r>
        <w:rPr/>
      </w:r>
    </w:p>
    <w:p>
      <w:pPr>
        <w:pStyle w:val="Normal"/>
        <w:ind w:end="36"/>
        <w:rPr/>
      </w:pPr>
      <w:r>
        <w:rPr/>
        <w:t>JRD/tys</w:t>
      </w:r>
    </w:p>
    <w:sectPr>
      <w:footerReference w:type="default" r:id="rId2"/>
      <w:type w:val="nextPage"/>
      <w:pgSz w:w="12240" w:h="15840"/>
      <w:pgMar w:left="1152" w:right="1152" w:gutter="0" w:header="0" w:top="1008" w:footer="288"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/mnt/main-storage/datasets/enron-docs/doc/John_Sickman-459b2a8bce5e67493ecaa3f1525e4e7e7d81d19129920cbe29aed14d3226fc4d.doc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0" w:start="0" w:end="36"/>
      <w:jc w:val="both"/>
    </w:pPr>
    <w:rPr>
      <w:spacing w:val="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2000-06-29T13:10:00Z</dcterms:created>
  <dc:creator>tsweet</dc:creator>
  <dc:description/>
  <dc:language>en-CA</dc:language>
  <cp:lastModifiedBy>tsweet</cp:lastModifiedBy>
  <cp:lastPrinted>2000-06-29T17:31:00Z</cp:lastPrinted>
  <dcterms:modified xsi:type="dcterms:W3CDTF">2000-06-29T20:01:00Z</dcterms:modified>
  <cp:revision>15</cp:revision>
  <dc:subject/>
  <dc:title>Citrus Trading Corp</dc:title>
</cp:coreProperties>
</file>