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36"/>
        <w:jc w:val="both"/>
        <w:rPr>
          <w:spacing w:val="0"/>
          <w:szCs w:val="24"/>
        </w:rPr>
      </w:pPr>
      <w:r>
        <w:rPr>
          <w:spacing w:val="0"/>
          <w:szCs w:val="24"/>
        </w:rPr>
      </w:r>
    </w:p>
    <w:p>
      <w:pPr>
        <w:pStyle w:val="Normal"/>
        <w:tabs>
          <w:tab w:val="clear" w:pos="720"/>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36"/>
        <w:jc w:val="both"/>
        <w:rPr>
          <w:spacing w:val="0"/>
          <w:szCs w:val="24"/>
        </w:rPr>
      </w:pPr>
      <w:r>
        <w:rPr>
          <w:spacing w:val="0"/>
          <w:szCs w:val="24"/>
        </w:rPr>
      </w:r>
    </w:p>
    <w:p>
      <w:pPr>
        <w:pStyle w:val="Normal"/>
        <w:tabs>
          <w:tab w:val="clear" w:pos="720"/>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36"/>
        <w:jc w:val="both"/>
        <w:rPr>
          <w:spacing w:val="0"/>
          <w:szCs w:val="24"/>
        </w:rPr>
      </w:pPr>
      <w:r>
        <w:rPr>
          <w:spacing w:val="0"/>
          <w:szCs w:val="24"/>
        </w:rPr>
      </w:r>
    </w:p>
    <w:p>
      <w:pPr>
        <w:pStyle w:val="Normal"/>
        <w:tabs>
          <w:tab w:val="clear" w:pos="720"/>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36"/>
        <w:jc w:val="both"/>
        <w:rPr>
          <w:spacing w:val="0"/>
          <w:szCs w:val="24"/>
        </w:rPr>
      </w:pPr>
      <w:r>
        <w:rPr>
          <w:spacing w:val="0"/>
          <w:szCs w:val="24"/>
        </w:rPr>
      </w:r>
    </w:p>
    <w:p>
      <w:pPr>
        <w:pStyle w:val="Normal"/>
        <w:tabs>
          <w:tab w:val="clear" w:pos="720"/>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36"/>
        <w:jc w:val="both"/>
        <w:rPr>
          <w:spacing w:val="0"/>
          <w:szCs w:val="24"/>
        </w:rPr>
      </w:pPr>
      <w:r>
        <w:rPr>
          <w:spacing w:val="0"/>
          <w:szCs w:val="24"/>
        </w:rPr>
      </w:r>
    </w:p>
    <w:p>
      <w:pPr>
        <w:pStyle w:val="Normal"/>
        <w:tabs>
          <w:tab w:val="clear" w:pos="720"/>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36"/>
        <w:jc w:val="both"/>
        <w:rPr>
          <w:spacing w:val="0"/>
          <w:szCs w:val="24"/>
        </w:rPr>
      </w:pPr>
      <w:r>
        <w:rPr>
          <w:spacing w:val="0"/>
          <w:szCs w:val="24"/>
        </w:rPr>
      </w:r>
    </w:p>
    <w:p>
      <w:pPr>
        <w:pStyle w:val="Normal"/>
        <w:tabs>
          <w:tab w:val="clear" w:pos="720"/>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36"/>
        <w:jc w:val="center"/>
        <w:rPr>
          <w:spacing w:val="0"/>
          <w:szCs w:val="24"/>
        </w:rPr>
      </w:pPr>
      <w:r>
        <w:rPr>
          <w:spacing w:val="0"/>
          <w:szCs w:val="24"/>
        </w:rPr>
        <w:t>June 29, 2000</w:t>
      </w:r>
    </w:p>
    <w:p>
      <w:pPr>
        <w:pStyle w:val="Normal"/>
        <w:tabs>
          <w:tab w:val="clear" w:pos="720"/>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36"/>
        <w:jc w:val="center"/>
        <w:rPr>
          <w:spacing w:val="0"/>
          <w:szCs w:val="24"/>
        </w:rPr>
      </w:pPr>
      <w:r>
        <w:rPr>
          <w:spacing w:val="0"/>
          <w:szCs w:val="24"/>
        </w:rPr>
      </w:r>
    </w:p>
    <w:p>
      <w:pPr>
        <w:pStyle w:val="Normal"/>
        <w:tabs>
          <w:tab w:val="clear" w:pos="720"/>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36"/>
        <w:jc w:val="center"/>
        <w:rPr>
          <w:spacing w:val="0"/>
          <w:szCs w:val="24"/>
        </w:rPr>
      </w:pPr>
      <w:r>
        <w:rPr>
          <w:spacing w:val="0"/>
          <w:szCs w:val="24"/>
        </w:rPr>
      </w:r>
    </w:p>
    <w:p>
      <w:pPr>
        <w:pStyle w:val="Normal"/>
        <w:tabs>
          <w:tab w:val="clear" w:pos="720"/>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36"/>
        <w:jc w:val="center"/>
        <w:rPr>
          <w:spacing w:val="0"/>
          <w:szCs w:val="24"/>
        </w:rPr>
      </w:pPr>
      <w:r>
        <w:rPr>
          <w:spacing w:val="0"/>
          <w:szCs w:val="24"/>
        </w:rPr>
      </w:r>
    </w:p>
    <w:p>
      <w:pPr>
        <w:pStyle w:val="Normal"/>
        <w:tabs>
          <w:tab w:val="clear" w:pos="720"/>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36"/>
        <w:jc w:val="both"/>
        <w:rPr>
          <w:spacing w:val="0"/>
          <w:szCs w:val="24"/>
        </w:rPr>
      </w:pPr>
      <w:r>
        <w:rPr>
          <w:spacing w:val="0"/>
          <w:szCs w:val="24"/>
        </w:rPr>
        <w:t>Mr. John T. Sickman</w:t>
      </w:r>
    </w:p>
    <w:p>
      <w:pPr>
        <w:pStyle w:val="Normal"/>
        <w:tabs>
          <w:tab w:val="clear" w:pos="720"/>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36"/>
        <w:jc w:val="both"/>
        <w:rPr>
          <w:spacing w:val="0"/>
          <w:szCs w:val="24"/>
        </w:rPr>
      </w:pPr>
      <w:r>
        <w:rPr>
          <w:spacing w:val="0"/>
          <w:szCs w:val="24"/>
        </w:rPr>
        <w:t>President</w:t>
      </w:r>
    </w:p>
    <w:p>
      <w:pPr>
        <w:pStyle w:val="Normal"/>
        <w:tabs>
          <w:tab w:val="clear" w:pos="720"/>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36"/>
        <w:jc w:val="both"/>
        <w:rPr>
          <w:spacing w:val="0"/>
          <w:szCs w:val="24"/>
        </w:rPr>
      </w:pPr>
      <w:r>
        <w:rPr>
          <w:spacing w:val="0"/>
          <w:szCs w:val="24"/>
        </w:rPr>
        <w:t>Duke Energy LNG Sales, Inc.</w:t>
      </w:r>
    </w:p>
    <w:p>
      <w:pPr>
        <w:pStyle w:val="Normal"/>
        <w:tabs>
          <w:tab w:val="clear" w:pos="720"/>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36"/>
        <w:jc w:val="both"/>
        <w:rPr>
          <w:spacing w:val="0"/>
          <w:szCs w:val="24"/>
        </w:rPr>
      </w:pPr>
      <w:r>
        <w:rPr>
          <w:spacing w:val="0"/>
          <w:szCs w:val="24"/>
        </w:rPr>
        <w:t>P.O. Box 1642</w:t>
      </w:r>
    </w:p>
    <w:p>
      <w:pPr>
        <w:pStyle w:val="Normal"/>
        <w:tabs>
          <w:tab w:val="clear" w:pos="720"/>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36"/>
        <w:jc w:val="both"/>
        <w:rPr>
          <w:spacing w:val="0"/>
          <w:szCs w:val="24"/>
        </w:rPr>
      </w:pPr>
      <w:r>
        <w:rPr>
          <w:spacing w:val="0"/>
          <w:szCs w:val="24"/>
        </w:rPr>
        <w:t>5400 Westheimer Court</w:t>
      </w:r>
    </w:p>
    <w:p>
      <w:pPr>
        <w:pStyle w:val="Normal"/>
        <w:tabs>
          <w:tab w:val="clear" w:pos="720"/>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36"/>
        <w:jc w:val="both"/>
        <w:rPr>
          <w:spacing w:val="0"/>
          <w:szCs w:val="24"/>
        </w:rPr>
      </w:pPr>
      <w:r>
        <w:rPr>
          <w:spacing w:val="0"/>
          <w:szCs w:val="24"/>
        </w:rPr>
        <w:t>Houston, Texas 77251-1642</w:t>
      </w:r>
    </w:p>
    <w:p>
      <w:pPr>
        <w:pStyle w:val="Normal"/>
        <w:tabs>
          <w:tab w:val="clear" w:pos="720"/>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36"/>
        <w:jc w:val="both"/>
        <w:rPr>
          <w:spacing w:val="0"/>
          <w:szCs w:val="24"/>
        </w:rPr>
      </w:pPr>
      <w:r>
        <w:rPr>
          <w:spacing w:val="0"/>
          <w:szCs w:val="24"/>
        </w:rPr>
      </w:r>
    </w:p>
    <w:p>
      <w:pPr>
        <w:pStyle w:val="Normal"/>
        <w:tabs>
          <w:tab w:val="clear" w:pos="720"/>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36"/>
        <w:jc w:val="both"/>
        <w:rPr>
          <w:spacing w:val="0"/>
          <w:szCs w:val="24"/>
        </w:rPr>
      </w:pPr>
      <w:r>
        <w:rPr>
          <w:spacing w:val="0"/>
          <w:szCs w:val="24"/>
        </w:rPr>
      </w:r>
    </w:p>
    <w:p>
      <w:pPr>
        <w:pStyle w:val="Normal"/>
        <w:tabs>
          <w:tab w:val="left" w:pos="720" w:leader="none"/>
          <w:tab w:val="left" w:pos="144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36"/>
        <w:jc w:val="both"/>
        <w:rPr>
          <w:spacing w:val="0"/>
          <w:szCs w:val="24"/>
        </w:rPr>
      </w:pPr>
      <w:r>
        <w:rPr>
          <w:spacing w:val="0"/>
          <w:szCs w:val="24"/>
        </w:rPr>
        <w:tab/>
        <w:t>Re:</w:t>
        <w:tab/>
        <w:t>Redetermination / Notice of Early Termination</w:t>
        <w:tab/>
      </w:r>
    </w:p>
    <w:p>
      <w:pPr>
        <w:pStyle w:val="Normal"/>
        <w:tabs>
          <w:tab w:val="clear" w:pos="720"/>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36"/>
        <w:jc w:val="both"/>
        <w:rPr>
          <w:spacing w:val="0"/>
          <w:szCs w:val="24"/>
        </w:rPr>
      </w:pPr>
      <w:r>
        <w:rPr>
          <w:spacing w:val="0"/>
          <w:szCs w:val="24"/>
        </w:rPr>
      </w:r>
    </w:p>
    <w:p>
      <w:pPr>
        <w:pStyle w:val="Normal"/>
        <w:tabs>
          <w:tab w:val="clear" w:pos="720"/>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36"/>
        <w:jc w:val="both"/>
        <w:rPr>
          <w:spacing w:val="0"/>
          <w:szCs w:val="24"/>
        </w:rPr>
      </w:pPr>
      <w:r>
        <w:rPr>
          <w:spacing w:val="0"/>
          <w:szCs w:val="24"/>
        </w:rPr>
        <w:t>Dear Mr. Sickman:</w:t>
      </w:r>
    </w:p>
    <w:p>
      <w:pPr>
        <w:pStyle w:val="Normal"/>
        <w:tabs>
          <w:tab w:val="clear" w:pos="720"/>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36"/>
        <w:jc w:val="both"/>
        <w:rPr>
          <w:spacing w:val="0"/>
          <w:szCs w:val="24"/>
        </w:rPr>
      </w:pPr>
      <w:r>
        <w:rPr>
          <w:spacing w:val="0"/>
          <w:szCs w:val="24"/>
        </w:rPr>
      </w:r>
    </w:p>
    <w:p>
      <w:pPr>
        <w:pStyle w:val="Normal"/>
        <w:tabs>
          <w:tab w:val="clear" w:pos="720"/>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36"/>
        <w:jc w:val="both"/>
        <w:rPr/>
      </w:pPr>
      <w:r>
        <w:rPr>
          <w:spacing w:val="0"/>
          <w:szCs w:val="24"/>
        </w:rPr>
        <w:t>Citrus Trading Corp. (“Citrus”) has received your June 26, 2000 letter in which Duke Energy LNG Sales, Inc.’s (“Duke”) alleges that a “Triggering Event” under the December 22, 1998 Enfolio Master Firm Purchase/Sale Agreement has occurred.  Citrus does not agree with Duke’s position.  Notwithstanding, Citrus agrees to participate in the price redetermination procedure contemplated by Article III, Sections 7 and 8 of the Transaction Agreement.  Citrus accepts Duke</w:t>
      </w:r>
      <w:r>
        <w:rPr>
          <w:rFonts w:cs="WP TypographicSymbols" w:ascii="WP TypographicSymbols" w:hAnsi="WP TypographicSymbols"/>
          <w:spacing w:val="0"/>
          <w:szCs w:val="24"/>
        </w:rPr>
        <w:t>=</w:t>
      </w:r>
      <w:r>
        <w:rPr>
          <w:spacing w:val="0"/>
          <w:szCs w:val="24"/>
        </w:rPr>
        <w:t>s suggestion of working together to establish a schedule to carry out the price redetermination procedure prior to September 1, 2001.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36"/>
        <w:jc w:val="both"/>
        <w:rPr>
          <w:spacing w:val="0"/>
          <w:szCs w:val="24"/>
        </w:rPr>
      </w:pPr>
      <w:r>
        <w:rPr>
          <w:spacing w:val="0"/>
          <w:szCs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36"/>
        <w:jc w:val="both"/>
        <w:rPr/>
      </w:pPr>
      <w:r>
        <w:rPr>
          <w:spacing w:val="0"/>
          <w:szCs w:val="24"/>
        </w:rPr>
        <w:t>Citrus’ agreement notwithstanding, Duke cannot ignore the language of Article III, Section 7 of the Amendment and Restatement of Gas Purchase Contract (the “Transaction Agreement”), which specifically refers to the third “contract quarter</w:t>
      </w:r>
      <w:r>
        <w:rPr>
          <w:rFonts w:cs="WP TypographicSymbols" w:ascii="WP TypographicSymbols" w:hAnsi="WP TypographicSymbols"/>
          <w:spacing w:val="0"/>
          <w:szCs w:val="24"/>
        </w:rPr>
        <w:t>@</w:t>
      </w:r>
      <w:r>
        <w:rPr>
          <w:spacing w:val="0"/>
          <w:szCs w:val="24"/>
        </w:rPr>
        <w:t xml:space="preserve"> of the year 2000, not, as Duke appears to contend, the third quarter of that year.  As defined in the Transaction Agreement, a “Contract Year” as used in the Transaction Agreement means a period of twelve consecutive months beginning on the first Gas Day of September in each year.  The Transaction Agreement is clear that a request for redetermination must be made within 10 days of the start of the third contract quarter, which is March 1.  Citrus has never led Duke to believe otherwise.  If you disagree, or you believe the required notice was given, please let me know the basis for your position.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36"/>
        <w:jc w:val="both"/>
        <w:rPr>
          <w:spacing w:val="0"/>
          <w:szCs w:val="24"/>
        </w:rPr>
      </w:pPr>
      <w:r>
        <w:rPr>
          <w:spacing w:val="0"/>
          <w:szCs w:val="24"/>
        </w:rPr>
      </w:r>
    </w:p>
    <w:p>
      <w:pPr>
        <w:pStyle w:val="BodyText"/>
        <w:rPr/>
      </w:pPr>
      <w:r>
        <w:rPr/>
        <w:t>Further, Section 7 of the Transaction Agreement outlines that if no request is made, “the pricing and escalation provisions then in effect shall remain in effect for the remaining term of this Contract.”  If the appropriate tribunal determines that Duke did not make the required request, the consequences to both parties are clear.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36"/>
        <w:jc w:val="both"/>
        <w:rPr>
          <w:spacing w:val="0"/>
          <w:szCs w:val="24"/>
        </w:rPr>
      </w:pPr>
      <w:r>
        <w:rPr>
          <w:spacing w:val="0"/>
          <w:szCs w:val="24"/>
        </w:rPr>
      </w:r>
    </w:p>
    <w:p>
      <w:pPr>
        <w:pStyle w:val="Normal"/>
        <w:ind w:end="36"/>
        <w:rPr/>
      </w:pPr>
      <w:r>
        <w:rPr/>
        <w:t>Please call me to discuss a schedule for the price redetermination.</w:t>
      </w:r>
    </w:p>
    <w:p>
      <w:pPr>
        <w:pStyle w:val="Normal"/>
        <w:ind w:end="36"/>
        <w:rPr/>
      </w:pPr>
      <w:r>
        <w:rPr/>
      </w:r>
    </w:p>
    <w:p>
      <w:pPr>
        <w:pStyle w:val="Normal"/>
        <w:ind w:end="36"/>
        <w:rPr/>
      </w:pPr>
      <w:r>
        <w:rPr/>
        <w:tab/>
        <w:tab/>
        <w:tab/>
        <w:tab/>
        <w:tab/>
        <w:tab/>
        <w:t>Very truly yours,</w:t>
      </w:r>
    </w:p>
    <w:p>
      <w:pPr>
        <w:pStyle w:val="Normal"/>
        <w:ind w:end="36"/>
        <w:rPr/>
      </w:pPr>
      <w:r>
        <w:rPr/>
      </w:r>
    </w:p>
    <w:p>
      <w:pPr>
        <w:pStyle w:val="Normal"/>
        <w:ind w:end="36"/>
        <w:rPr/>
      </w:pPr>
      <w:r>
        <w:rPr/>
      </w:r>
    </w:p>
    <w:p>
      <w:pPr>
        <w:pStyle w:val="Normal"/>
        <w:ind w:end="36"/>
        <w:rPr/>
      </w:pPr>
      <w:r>
        <w:rPr/>
      </w:r>
    </w:p>
    <w:p>
      <w:pPr>
        <w:pStyle w:val="Normal"/>
        <w:ind w:end="36"/>
        <w:rPr/>
      </w:pPr>
      <w:r>
        <w:rPr/>
        <w:tab/>
        <w:tab/>
        <w:tab/>
        <w:tab/>
        <w:tab/>
        <w:tab/>
        <w:t>Janet R. Dietrich</w:t>
      </w:r>
    </w:p>
    <w:p>
      <w:pPr>
        <w:pStyle w:val="Normal"/>
        <w:ind w:end="36"/>
        <w:rPr/>
      </w:pPr>
      <w:r>
        <w:rPr/>
      </w:r>
    </w:p>
    <w:p>
      <w:pPr>
        <w:pStyle w:val="Normal"/>
        <w:ind w:end="36"/>
        <w:rPr/>
      </w:pPr>
      <w:r>
        <w:rPr/>
        <w:t>JRD/tys</w:t>
      </w:r>
    </w:p>
    <w:sectPr>
      <w:footerReference w:type="default" r:id="rId2"/>
      <w:type w:val="nextPage"/>
      <w:pgSz w:w="12240" w:h="15840"/>
      <w:pgMar w:left="1152" w:right="1152" w:gutter="0" w:header="0" w:top="1008" w:footer="288"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/mnt/main-storage/datasets/enron-docs/doc/John_Sickman-1a243d63ef484adda0f0fc62c7c3b8638ba56818df0dcc993a1957ea6a995937.doc</w:t>
    </w:r>
    <w:r>
      <w:rPr>
        <w:sz w:val="16"/>
      </w:rPr>
      <w:fldChar w:fldCharType="end"/>
    </w:r>
  </w:p>
</w:ftr>
</file>

<file path=word/settings.xml><?xml version="1.0" encoding="utf-8"?>
<w:settings xmlns:w="http://schemas.openxmlformats.org/wordprocessingml/2006/main">
  <w:zoom w:percent="92"/>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2"/>
      <w:sz w:val="23"/>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hanging="0" w:start="0" w:end="36"/>
      <w:jc w:val="both"/>
    </w:pPr>
    <w:rPr>
      <w:spacing w:val="0"/>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2000-06-29T13:10:00Z</dcterms:created>
  <dc:creator>tsweet</dc:creator>
  <dc:description/>
  <dc:language>en-CA</dc:language>
  <cp:lastModifiedBy>tsweet</cp:lastModifiedBy>
  <cp:lastPrinted>2000-06-29T12:44:00Z</cp:lastPrinted>
  <dcterms:modified xsi:type="dcterms:W3CDTF">2000-06-29T15:15:00Z</dcterms:modified>
  <cp:revision>8</cp:revision>
  <dc:subject/>
  <dc:title>Citrus Trading Corp</dc:title>
</cp:coreProperties>
</file>