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December 16, 1999</w:t>
      </w:r>
    </w:p>
    <w:p>
      <w:pPr>
        <w:pStyle w:val="Normal"/>
        <w:rPr>
          <w:sz w:val="24"/>
        </w:rPr>
      </w:pPr>
      <w:r>
        <w:rPr>
          <w:sz w:val="24"/>
        </w:rPr>
      </w:r>
    </w:p>
    <w:p>
      <w:pPr>
        <w:pStyle w:val="Normal"/>
        <w:rPr>
          <w:sz w:val="24"/>
        </w:rPr>
      </w:pPr>
      <w:r>
        <w:rPr>
          <w:sz w:val="24"/>
        </w:rPr>
      </w:r>
    </w:p>
    <w:p>
      <w:pPr>
        <w:pStyle w:val="Normal"/>
        <w:rPr>
          <w:sz w:val="24"/>
        </w:rPr>
      </w:pPr>
      <w:r>
        <w:rPr>
          <w:sz w:val="24"/>
        </w:rPr>
        <w:t>Mr. John W. Pope</w:t>
      </w:r>
    </w:p>
    <w:p>
      <w:pPr>
        <w:pStyle w:val="Normal"/>
        <w:rPr>
          <w:sz w:val="24"/>
        </w:rPr>
      </w:pPr>
      <w:r>
        <w:rPr>
          <w:sz w:val="24"/>
        </w:rPr>
        <w:t>Southeastern Electric Reliability Council</w:t>
      </w:r>
    </w:p>
    <w:p>
      <w:pPr>
        <w:pStyle w:val="Normal"/>
        <w:rPr>
          <w:sz w:val="24"/>
        </w:rPr>
      </w:pPr>
      <w:r>
        <w:rPr>
          <w:sz w:val="24"/>
        </w:rPr>
        <w:t>P. O. Box 2641</w:t>
      </w:r>
    </w:p>
    <w:p>
      <w:pPr>
        <w:pStyle w:val="Normal"/>
        <w:rPr>
          <w:sz w:val="24"/>
        </w:rPr>
      </w:pPr>
      <w:r>
        <w:rPr>
          <w:sz w:val="24"/>
        </w:rPr>
        <w:t>Birmingham, Alabama 35291</w:t>
      </w:r>
    </w:p>
    <w:p>
      <w:pPr>
        <w:pStyle w:val="Normal"/>
        <w:rPr>
          <w:sz w:val="24"/>
        </w:rPr>
      </w:pPr>
      <w:r>
        <w:rPr>
          <w:sz w:val="24"/>
        </w:rPr>
      </w:r>
    </w:p>
    <w:p>
      <w:pPr>
        <w:pStyle w:val="Normal"/>
        <w:rPr>
          <w:sz w:val="24"/>
        </w:rPr>
      </w:pPr>
      <w:r>
        <w:rPr>
          <w:sz w:val="24"/>
        </w:rPr>
        <w:t>Dear Mr. Pope:</w:t>
      </w:r>
    </w:p>
    <w:p>
      <w:pPr>
        <w:pStyle w:val="Normal"/>
        <w:rPr>
          <w:sz w:val="24"/>
        </w:rPr>
      </w:pPr>
      <w:r>
        <w:rPr>
          <w:sz w:val="24"/>
        </w:rPr>
      </w:r>
    </w:p>
    <w:p>
      <w:pPr>
        <w:pStyle w:val="Normal"/>
        <w:rPr>
          <w:sz w:val="24"/>
        </w:rPr>
      </w:pPr>
      <w:r>
        <w:rPr>
          <w:sz w:val="24"/>
        </w:rPr>
        <w:tab/>
        <w:t xml:space="preserve">This letter will serve as Enron’s response to your December 13, 1999 letter to me regarding the proposed solution developed by the ADR Investigation team relating to the Enron/T.V.A. dispute.  </w:t>
      </w:r>
    </w:p>
    <w:p>
      <w:pPr>
        <w:pStyle w:val="Normal"/>
        <w:rPr>
          <w:sz w:val="24"/>
        </w:rPr>
      </w:pPr>
      <w:r>
        <w:rPr>
          <w:sz w:val="24"/>
        </w:rPr>
      </w:r>
    </w:p>
    <w:p>
      <w:pPr>
        <w:pStyle w:val="Normal"/>
        <w:ind w:firstLine="720" w:end="0"/>
        <w:rPr>
          <w:sz w:val="24"/>
        </w:rPr>
      </w:pPr>
      <w:r>
        <w:rPr>
          <w:sz w:val="24"/>
        </w:rPr>
        <w:t xml:space="preserve">Enron rejects the proposed solution.  Although the ADR procedures do not require Enron to either indicate its reasons for not agreeing to the proposal or to suggest changes, let me make Enron’s position perfectly clear.  Enron believes its rights to operate as a control area have been confirmed by NERC in Howard Hawks’ letters to SERC dated October 26 and ________________.  Any proposed solution that varies from NERC’s position is rejected.  </w:t>
      </w:r>
    </w:p>
    <w:p>
      <w:pPr>
        <w:pStyle w:val="Normal"/>
        <w:ind w:firstLine="720" w:end="0"/>
        <w:rPr>
          <w:sz w:val="24"/>
        </w:rPr>
      </w:pPr>
      <w:r>
        <w:rPr>
          <w:sz w:val="24"/>
        </w:rPr>
      </w:r>
    </w:p>
    <w:p>
      <w:pPr>
        <w:pStyle w:val="Normal"/>
        <w:ind w:firstLine="720" w:end="0"/>
        <w:rPr>
          <w:sz w:val="24"/>
        </w:rPr>
      </w:pPr>
      <w:r>
        <w:rPr>
          <w:sz w:val="24"/>
        </w:rPr>
        <w:t>Based on my discussions with Jim Maughn and my review of the ADR provisions of the SERC agreement, Enron’s rejection of the proposed solution fully and finally concludes the ADR process.</w:t>
      </w:r>
    </w:p>
    <w:p>
      <w:pPr>
        <w:pStyle w:val="Normal"/>
        <w:rPr>
          <w:sz w:val="24"/>
        </w:rPr>
      </w:pPr>
      <w:r>
        <w:rPr>
          <w:sz w:val="24"/>
        </w:rPr>
      </w:r>
    </w:p>
    <w:p>
      <w:pPr>
        <w:pStyle w:val="Normal"/>
        <w:rPr>
          <w:sz w:val="24"/>
        </w:rPr>
      </w:pPr>
      <w:r>
        <w:rPr>
          <w:sz w:val="24"/>
        </w:rPr>
        <w:tab/>
        <w:tab/>
        <w:tab/>
        <w:tab/>
        <w:tab/>
        <w:tab/>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Richard Ingersoll</w:t>
      </w:r>
    </w:p>
    <w:p>
      <w:pPr>
        <w:pStyle w:val="Normal"/>
        <w:rPr>
          <w:sz w:val="24"/>
        </w:rPr>
      </w:pPr>
      <w:r>
        <w:rPr>
          <w:sz w:val="24"/>
        </w:rPr>
      </w:r>
    </w:p>
    <w:p>
      <w:pPr>
        <w:pStyle w:val="Normal"/>
        <w:rPr>
          <w:sz w:val="24"/>
        </w:rPr>
      </w:pPr>
      <w:r>
        <w:rPr>
          <w:sz w:val="24"/>
        </w:rPr>
      </w:r>
    </w:p>
    <w:p>
      <w:pPr>
        <w:pStyle w:val="Normal"/>
        <w:rPr>
          <w:sz w:val="24"/>
        </w:rPr>
      </w:pPr>
      <w:r>
        <w:rPr>
          <w:sz w:val="24"/>
        </w:rPr>
        <w:t>cc:</w:t>
        <w:tab/>
        <w:t>William F. Reinke, Chairman</w:t>
      </w:r>
    </w:p>
    <w:p>
      <w:pPr>
        <w:pStyle w:val="Normal"/>
        <w:rPr>
          <w:sz w:val="24"/>
        </w:rPr>
      </w:pPr>
      <w:r>
        <w:rPr>
          <w:sz w:val="24"/>
        </w:rPr>
        <w:tab/>
        <w:t>Duke Power Company</w:t>
      </w:r>
    </w:p>
    <w:p>
      <w:pPr>
        <w:pStyle w:val="Normal"/>
        <w:rPr>
          <w:sz w:val="24"/>
        </w:rPr>
      </w:pPr>
      <w:r>
        <w:rPr>
          <w:sz w:val="24"/>
        </w:rPr>
        <w:tab/>
        <w:t>P. O. Box 1006</w:t>
      </w:r>
    </w:p>
    <w:p>
      <w:pPr>
        <w:pStyle w:val="Normal"/>
        <w:rPr>
          <w:sz w:val="24"/>
        </w:rPr>
      </w:pPr>
      <w:r>
        <w:rPr>
          <w:sz w:val="24"/>
        </w:rPr>
        <w:tab/>
        <w:t>Charlotte, NC 28201</w:t>
      </w:r>
    </w:p>
    <w:p>
      <w:pPr>
        <w:pStyle w:val="Normal"/>
        <w:rPr>
          <w:sz w:val="24"/>
        </w:rPr>
      </w:pPr>
      <w:r>
        <w:rPr>
          <w:sz w:val="24"/>
        </w:rPr>
      </w:r>
    </w:p>
    <w:p>
      <w:pPr>
        <w:pStyle w:val="Normal"/>
        <w:rPr>
          <w:sz w:val="24"/>
        </w:rPr>
      </w:pPr>
      <w:r>
        <w:rPr>
          <w:sz w:val="24"/>
        </w:rPr>
        <w:tab/>
        <w:t>Jim Maughn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1999-12-16T13:11:00Z</dcterms:created>
  <dc:creator>ECT</dc:creator>
  <dc:description/>
  <dc:language>en-CA</dc:language>
  <cp:lastModifiedBy>tsweet</cp:lastModifiedBy>
  <cp:lastPrinted>1999-12-16T10:00:00Z</cp:lastPrinted>
  <dcterms:modified xsi:type="dcterms:W3CDTF">1999-12-16T14:38:00Z</dcterms:modified>
  <cp:revision>6</cp:revision>
  <dc:subject/>
  <dc:title>						February 23, 1998</dc:title>
</cp:coreProperties>
</file>