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pPr>
      <w:r>
        <w:rPr/>
        <w:t>Promotion Review:  John Malowney</w:t>
      </w:r>
    </w:p>
    <w:p>
      <w:pPr>
        <w:pStyle w:val="Heading"/>
        <w:jc w:val="start"/>
        <w:rPr/>
      </w:pPr>
      <w:r>
        <w:rPr/>
        <w:t>EPMI West Middle Market Group - 2001 Mid Year</w:t>
      </w:r>
    </w:p>
    <w:p>
      <w:pPr>
        <w:pStyle w:val="Normal"/>
        <w:rPr>
          <w:sz w:val="22"/>
        </w:rPr>
      </w:pPr>
      <w:r>
        <w:rPr>
          <w:sz w:val="22"/>
        </w:rPr>
      </w:r>
    </w:p>
    <w:p>
      <w:pPr>
        <w:pStyle w:val="Normal"/>
        <w:numPr>
          <w:ilvl w:val="0"/>
          <w:numId w:val="6"/>
        </w:numPr>
        <w:tabs>
          <w:tab w:val="clear" w:pos="720"/>
          <w:tab w:val="left" w:pos="360" w:leader="none"/>
        </w:tabs>
        <w:rPr/>
      </w:pPr>
      <w:r>
        <w:rPr/>
        <w:t>Employment History</w:t>
      </w:r>
    </w:p>
    <w:p>
      <w:pPr>
        <w:pStyle w:val="Normal"/>
        <w:numPr>
          <w:ilvl w:val="0"/>
          <w:numId w:val="2"/>
        </w:numPr>
        <w:rPr/>
      </w:pPr>
      <w:r>
        <w:rPr/>
        <w:t>Portland General Electric - Hiring Date: 8/6/80</w:t>
      </w:r>
    </w:p>
    <w:p>
      <w:pPr>
        <w:pStyle w:val="Normal"/>
        <w:numPr>
          <w:ilvl w:val="0"/>
          <w:numId w:val="2"/>
        </w:numPr>
        <w:rPr/>
      </w:pPr>
      <w:r>
        <w:rPr/>
        <w:t>EPMI – Hiring Date: 11/97 (Part of original crew with Portland office start-up)</w:t>
      </w:r>
    </w:p>
    <w:p>
      <w:pPr>
        <w:pStyle w:val="Normal"/>
        <w:rPr/>
      </w:pPr>
      <w:r>
        <w:rPr/>
      </w:r>
    </w:p>
    <w:p>
      <w:pPr>
        <w:pStyle w:val="Normal"/>
        <w:numPr>
          <w:ilvl w:val="0"/>
          <w:numId w:val="6"/>
        </w:numPr>
        <w:tabs>
          <w:tab w:val="clear" w:pos="720"/>
          <w:tab w:val="left" w:pos="360" w:leader="none"/>
        </w:tabs>
        <w:rPr/>
      </w:pPr>
      <w:r>
        <w:rPr/>
        <w:t xml:space="preserve">Origination/Coverage Metrics - 2001 Year to Date  </w:t>
      </w:r>
    </w:p>
    <w:p>
      <w:pPr>
        <w:pStyle w:val="Normal"/>
        <w:rPr/>
      </w:pPr>
      <w:r>
        <w:rPr/>
      </w:r>
    </w:p>
    <w:p>
      <w:pPr>
        <w:pStyle w:val="Normal"/>
        <w:numPr>
          <w:ilvl w:val="0"/>
          <w:numId w:val="5"/>
        </w:numPr>
        <w:rPr/>
      </w:pPr>
      <w:r>
        <w:rPr/>
        <w:t># of Customers Covered Weekly - 24</w:t>
      </w:r>
    </w:p>
    <w:p>
      <w:pPr>
        <w:pStyle w:val="Normal"/>
        <w:numPr>
          <w:ilvl w:val="0"/>
          <w:numId w:val="5"/>
        </w:numPr>
        <w:rPr/>
      </w:pPr>
      <w:r>
        <w:rPr/>
        <w:t># of Transactions – 19</w:t>
      </w:r>
    </w:p>
    <w:p>
      <w:pPr>
        <w:pStyle w:val="Normal"/>
        <w:numPr>
          <w:ilvl w:val="0"/>
          <w:numId w:val="5"/>
        </w:numPr>
        <w:rPr/>
      </w:pPr>
      <w:r>
        <w:rPr/>
        <w:t>Total # of Counter Parties Transacting – 7</w:t>
      </w:r>
    </w:p>
    <w:p>
      <w:pPr>
        <w:pStyle w:val="Normal"/>
        <w:numPr>
          <w:ilvl w:val="0"/>
          <w:numId w:val="5"/>
        </w:numPr>
        <w:rPr/>
      </w:pPr>
      <w:r>
        <w:rPr/>
        <w:t>Master Agreements</w:t>
      </w:r>
    </w:p>
    <w:p>
      <w:pPr>
        <w:pStyle w:val="Normal"/>
        <w:numPr>
          <w:ilvl w:val="1"/>
          <w:numId w:val="4"/>
        </w:numPr>
        <w:tabs>
          <w:tab w:val="clear" w:pos="720"/>
          <w:tab w:val="left" w:pos="1080" w:leader="none"/>
        </w:tabs>
        <w:ind w:hanging="720" w:start="1440" w:end="0"/>
        <w:rPr/>
      </w:pPr>
      <w:r>
        <w:rPr/>
        <w:t>EEIs</w:t>
        <w:tab/>
        <w:t xml:space="preserve"> 1 </w:t>
      </w:r>
    </w:p>
    <w:p>
      <w:pPr>
        <w:pStyle w:val="Normal"/>
        <w:numPr>
          <w:ilvl w:val="1"/>
          <w:numId w:val="4"/>
        </w:numPr>
        <w:tabs>
          <w:tab w:val="clear" w:pos="720"/>
          <w:tab w:val="left" w:pos="1080" w:leader="none"/>
        </w:tabs>
        <w:ind w:hanging="720" w:start="1440" w:end="0"/>
        <w:rPr/>
      </w:pPr>
      <w:r>
        <w:rPr/>
        <w:t>ISDAs</w:t>
        <w:tab/>
        <w:t xml:space="preserve"> </w:t>
      </w:r>
      <w:r>
        <w:rPr>
          <w:u w:val="single"/>
        </w:rPr>
        <w:t>2</w:t>
      </w:r>
      <w:r>
        <w:rPr/>
        <w:t xml:space="preserve"> – Bellingham Cold Storage, Louisiana Pacific</w:t>
      </w:r>
    </w:p>
    <w:p>
      <w:pPr>
        <w:pStyle w:val="Normal"/>
        <w:numPr>
          <w:ilvl w:val="1"/>
          <w:numId w:val="4"/>
        </w:numPr>
        <w:tabs>
          <w:tab w:val="clear" w:pos="720"/>
          <w:tab w:val="left" w:pos="1080" w:leader="none"/>
        </w:tabs>
        <w:ind w:hanging="720" w:start="1440" w:end="0"/>
        <w:rPr/>
      </w:pPr>
      <w:r>
        <w:rPr/>
        <w:t>Total</w:t>
        <w:tab/>
        <w:t xml:space="preserve"> 3</w:t>
      </w:r>
    </w:p>
    <w:p>
      <w:pPr>
        <w:pStyle w:val="Normal"/>
        <w:numPr>
          <w:ilvl w:val="0"/>
          <w:numId w:val="5"/>
        </w:numPr>
        <w:rPr/>
      </w:pPr>
      <w:r>
        <w:rPr/>
        <w:t>Total Origination - $2,105,422</w:t>
      </w:r>
    </w:p>
    <w:p>
      <w:pPr>
        <w:pStyle w:val="Normal"/>
        <w:rPr/>
      </w:pPr>
      <w:r>
        <w:rPr/>
      </w:r>
    </w:p>
    <w:p>
      <w:pPr>
        <w:pStyle w:val="Normal"/>
        <w:numPr>
          <w:ilvl w:val="0"/>
          <w:numId w:val="6"/>
        </w:numPr>
        <w:tabs>
          <w:tab w:val="clear" w:pos="720"/>
          <w:tab w:val="left" w:pos="360" w:leader="none"/>
        </w:tabs>
        <w:rPr/>
      </w:pPr>
      <w:r>
        <w:rPr/>
        <w:t>Career Highlights</w:t>
      </w:r>
    </w:p>
    <w:p>
      <w:pPr>
        <w:pStyle w:val="Normal"/>
        <w:rPr/>
      </w:pPr>
      <w:r>
        <w:rPr/>
      </w:r>
    </w:p>
    <w:p>
      <w:pPr>
        <w:pStyle w:val="Normal"/>
        <w:numPr>
          <w:ilvl w:val="0"/>
          <w:numId w:val="7"/>
        </w:numPr>
        <w:rPr/>
      </w:pPr>
      <w:r>
        <w:rPr/>
        <w:t>Industrial Relationship Management – John’s key skill set.  John has maintained numerous key client relationships for many years due to his stability in his position and his personal demeanor.  He makes industrial clients comfortable dealing with ENA, a rare skill set within the organization.  He brings them along slowly and they never leave.  Key relationships include:</w:t>
      </w:r>
    </w:p>
    <w:p>
      <w:pPr>
        <w:pStyle w:val="BodyTextIndent3"/>
        <w:numPr>
          <w:ilvl w:val="0"/>
          <w:numId w:val="3"/>
        </w:numPr>
        <w:rPr/>
      </w:pPr>
      <w:r>
        <w:rPr/>
        <w:t>Louisiana Pacific – John has developed a relationship with LP that represents the standard as to what EPMI is trying to accomplish.  Relationship has resulted in business in Montana and a California Services deal, the combination of which has generated about $400k ($350k Orig. and $40k Services) in 2000 earnings and an additional  $1.0 million in 2001 ($1 million Orig. and $20k Services).  Recently, LP has requested that John serve as the single pint of contact within Enron for all gas and power transactions and has written a letter praising his value. He is working on a financial hedge for all of LP’s North America natural gas volumes.  Was requested to join L-P’s internal energy management team, the first time an external non-consultant has been admitted to their organization.</w:t>
      </w:r>
    </w:p>
    <w:p>
      <w:pPr>
        <w:pStyle w:val="Normal"/>
        <w:numPr>
          <w:ilvl w:val="0"/>
          <w:numId w:val="3"/>
        </w:numPr>
        <w:rPr/>
      </w:pPr>
      <w:r>
        <w:rPr/>
        <w:t>Willamette Industries - Relationship has resulted in business in Montana and a California Services deal, the combination of which has generated in 2000 earnings of about $400k (Services) and an additional $1.9 million in 2001(Services).  Willamette has requested that John serve as its exclusive Enron represent and has written a letter to Enron praising John’s service.</w:t>
      </w:r>
    </w:p>
    <w:p>
      <w:pPr>
        <w:pStyle w:val="Normal"/>
        <w:numPr>
          <w:ilvl w:val="0"/>
          <w:numId w:val="7"/>
        </w:numPr>
        <w:rPr/>
      </w:pPr>
      <w:r>
        <w:rPr/>
        <w:t>Montana Market Development – EPMI has been extremely successful in selling energy into the Montana industrial marketplace.  John is a key reason for this.  At a time when most thought it was a waste of time, John spent considerable effort meeting with industrials and positioning ENA to close deals.  When the market opened we were there.  Even after PP&amp;L bought the Montana Power assets, EPMI remains the leading energy provider of choice to Montana’s largest industrials (Louisiana-Pacific, Ash Grove Cement, Smurfit Stone, Luzenac America, and Montana Power Company the utility itself). In Montana, participated in Governor’s energy crisis task force</w:t>
      </w:r>
    </w:p>
    <w:p>
      <w:pPr>
        <w:pStyle w:val="BodyTextIndent2"/>
        <w:numPr>
          <w:ilvl w:val="0"/>
          <w:numId w:val="7"/>
        </w:numPr>
        <w:tabs>
          <w:tab w:val="clear" w:pos="720"/>
        </w:tabs>
        <w:rPr/>
      </w:pPr>
      <w:r>
        <w:rPr/>
        <w:t>Montana Power Company Services Deal - Established MPC as a term counter-party netting my personal “book” in excess of $220,000 year to date.   Renegotiated and successfully contracted for EPMI to handle Montana Power Company’s (MPC) hourly energy imbalance requirements, netting EPMI in excess of $2.5MM year-to-date and almost $5 million in 2000.</w:t>
      </w:r>
    </w:p>
    <w:p>
      <w:pPr>
        <w:pStyle w:val="BodyTextIndent2"/>
        <w:numPr>
          <w:ilvl w:val="0"/>
          <w:numId w:val="7"/>
        </w:numPr>
        <w:tabs>
          <w:tab w:val="clear" w:pos="720"/>
        </w:tabs>
        <w:rPr/>
      </w:pPr>
      <w:r>
        <w:rPr/>
        <w:t xml:space="preserve">Services Book/Leverage Relationships – Although he does not manage the day-to-day aspects of the arrangements, he brought the relationships that have resulted in Services Book business, resulting in 2001 earnings as follows: Willamette ($1.9 million), Gray’s Harbor ($320 million).  Louisiana Pacific ($5,000).  In conjunction with Dave Fuller, successfully negotiated a natural gas hedge that netted us $50,000 of origination for Oregon Steel.  Helping Dave with gas business with LP.  Positioning ENA Origination Group to develop generation in Montana. </w:t>
      </w:r>
    </w:p>
    <w:p>
      <w:pPr>
        <w:pStyle w:val="Normal"/>
        <w:rPr/>
      </w:pPr>
      <w:r>
        <w:rPr/>
      </w:r>
    </w:p>
    <w:p>
      <w:pPr>
        <w:pStyle w:val="Normal"/>
        <w:tabs>
          <w:tab w:val="clear" w:pos="720"/>
          <w:tab w:val="left" w:pos="1080" w:leader="none"/>
        </w:tabs>
        <w:rPr/>
      </w:pPr>
      <w:r>
        <w:rPr/>
      </w:r>
    </w:p>
    <w:p>
      <w:pPr>
        <w:pStyle w:val="Normal"/>
        <w:tabs>
          <w:tab w:val="clear" w:pos="720"/>
          <w:tab w:val="left" w:pos="1080" w:leader="none"/>
        </w:tabs>
        <w:rPr/>
      </w:pPr>
      <w:r>
        <w:rPr/>
      </w:r>
    </w:p>
    <w:p>
      <w:pPr>
        <w:pStyle w:val="Normal"/>
        <w:ind w:start="360" w:end="0"/>
        <w:rPr/>
      </w:pPr>
      <w:r>
        <w:rPr/>
      </w:r>
    </w:p>
    <w:p>
      <w:pPr>
        <w:pStyle w:val="Normal"/>
        <w:ind w:start="720" w:end="0"/>
        <w:rPr/>
      </w:pPr>
      <w:r>
        <w:rPr/>
      </w:r>
    </w:p>
    <w:p>
      <w:pPr>
        <w:pStyle w:val="Normal"/>
        <w:tabs>
          <w:tab w:val="clear" w:pos="720"/>
          <w:tab w:val="left" w:pos="1080" w:leader="none"/>
        </w:tabs>
        <w:rPr/>
      </w:pPr>
      <w:r>
        <w:rPr/>
      </w:r>
    </w:p>
    <w:sectPr>
      <w:type w:val="nextPage"/>
      <w:pgSz w:w="12240" w:h="15840"/>
      <w:pgMar w:left="1440" w:right="1440" w:gutter="0" w:header="0" w:top="1152"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720"/>
        </w:tabs>
        <w:ind w:start="720" w:hanging="360"/>
      </w:pPr>
      <w:rPr>
        <w:rFonts w:ascii="Times New Roman" w:hAnsi="Times New Roman" w:cs="Times New Roman" w:hint="default"/>
      </w:rPr>
    </w:lvl>
  </w:abstractNum>
  <w:abstractNum w:abstractNumId="3">
    <w:lvl w:ilvl="0">
      <w:start w:val="1"/>
      <w:numFmt w:val="decimal"/>
      <w:lvlText w:val="%1."/>
      <w:lvlJc w:val="start"/>
      <w:pPr>
        <w:tabs>
          <w:tab w:val="num" w:pos="1080"/>
        </w:tabs>
        <w:ind w:start="1080" w:hanging="360"/>
      </w:pPr>
      <w:rPr/>
    </w:lvl>
  </w:abstractNum>
  <w:abstractNum w:abstractNumId="4">
    <w:lvl w:ilvl="0">
      <w:start w:val="1"/>
      <w:numFmt w:val="upperLetter"/>
      <w:lvlText w:val="%1."/>
      <w:lvlJc w:val="start"/>
      <w:pPr>
        <w:tabs>
          <w:tab w:val="num" w:pos="720"/>
        </w:tabs>
        <w:ind w:start="720" w:hanging="360"/>
      </w:pPr>
    </w:lvl>
    <w:lvl w:ilvl="1">
      <w:start w:val="1"/>
      <w:numFmt w:val="decimal"/>
      <w:lvlText w:val="%2."/>
      <w:lvlJc w:val="start"/>
      <w:pPr>
        <w:tabs>
          <w:tab w:val="num" w:pos="720"/>
        </w:tabs>
        <w:ind w:start="1440" w:hanging="36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5">
    <w:lvl w:ilvl="0">
      <w:start w:val="1"/>
      <w:numFmt w:val="upperLetter"/>
      <w:lvlText w:val="%1."/>
      <w:lvlJc w:val="start"/>
      <w:pPr>
        <w:tabs>
          <w:tab w:val="num" w:pos="720"/>
        </w:tabs>
        <w:ind w:start="720" w:hanging="360"/>
      </w:pPr>
      <w:rPr/>
    </w:lvl>
  </w:abstractNum>
  <w:abstractNum w:abstractNumId="6">
    <w:lvl w:ilvl="0">
      <w:start w:val="1"/>
      <w:numFmt w:val="upperRoman"/>
      <w:lvlText w:val="%1."/>
      <w:lvlJc w:val="start"/>
      <w:pPr>
        <w:tabs>
          <w:tab w:val="num" w:pos="720"/>
        </w:tabs>
        <w:ind w:start="720" w:hanging="720"/>
      </w:pPr>
      <w:rPr/>
    </w:lvl>
  </w:abstractNum>
  <w:abstractNum w:abstractNumId="7">
    <w:lvl w:ilvl="0">
      <w:start w:val="1"/>
      <w:numFmt w:val="upperLetter"/>
      <w:lvlText w:val="%1."/>
      <w:lvlJc w:val="start"/>
      <w:pPr>
        <w:tabs>
          <w:tab w:val="num" w:pos="765"/>
        </w:tabs>
        <w:ind w:start="765"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1"/>
        <w:numId w:val="1"/>
      </w:numPr>
      <w:ind w:hanging="0" w:start="0" w:end="-270"/>
      <w:outlineLvl w:val="1"/>
    </w:pPr>
    <w:rPr>
      <w:u w:val="single"/>
    </w:rPr>
  </w:style>
  <w:style w:type="paragraph" w:styleId="Heading3">
    <w:name w:val="heading 3"/>
    <w:basedOn w:val="Normal"/>
    <w:next w:val="Normal"/>
    <w:qFormat/>
    <w:pPr>
      <w:keepNext w:val="true"/>
      <w:numPr>
        <w:ilvl w:val="2"/>
        <w:numId w:val="1"/>
      </w:numPr>
      <w:jc w:val="center"/>
      <w:outlineLvl w:val="2"/>
    </w:pPr>
    <w:rPr>
      <w:rFonts w:ascii="Arial" w:hAnsi="Arial" w:cs="Arial"/>
      <w:b/>
      <w:bCs/>
      <w:sz w:val="16"/>
    </w:rPr>
  </w:style>
  <w:style w:type="paragraph" w:styleId="Heading4">
    <w:name w:val="heading 4"/>
    <w:basedOn w:val="Normal"/>
    <w:next w:val="Normal"/>
    <w:qFormat/>
    <w:pPr>
      <w:keepNext w:val="true"/>
      <w:numPr>
        <w:ilvl w:val="3"/>
        <w:numId w:val="1"/>
      </w:numPr>
      <w:ind w:hanging="0" w:start="0" w:end="-270"/>
      <w:outlineLvl w:val="3"/>
    </w:pPr>
    <w:rPr>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rFonts w:ascii="Times New Roman" w:hAnsi="Times New Roman" w:eastAsia="Times New Roman" w:cs="Times New Roman"/>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rFonts w:ascii="Symbol" w:hAnsi="Symbol" w:cs="Symbol"/>
    </w:rPr>
  </w:style>
  <w:style w:type="character" w:styleId="WW8Num8z4">
    <w:name w:val="WW8Num8z4"/>
    <w:qFormat/>
    <w:rPr>
      <w:rFonts w:ascii="Courier New" w:hAnsi="Courier New" w:cs="Courier New"/>
    </w:rPr>
  </w:style>
  <w:style w:type="character" w:styleId="WW8Num8z5">
    <w:name w:val="WW8Num8z5"/>
    <w:qFormat/>
    <w:rPr>
      <w:rFonts w:ascii="Wingdings" w:hAnsi="Wingdings" w:cs="Wingdings"/>
    </w:rPr>
  </w:style>
  <w:style w:type="character" w:styleId="WW8Num9z1">
    <w:name w:val="WW8Num9z1"/>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5z0">
    <w:name w:val="WW8Num15z0"/>
    <w:qFormat/>
    <w:rPr/>
  </w:style>
  <w:style w:type="character" w:styleId="WW8Num16z0">
    <w:name w:val="WW8Num16z0"/>
    <w:qFormat/>
    <w:rPr/>
  </w:style>
  <w:style w:type="character" w:styleId="WW8Num16z3">
    <w:name w:val="WW8Num16z3"/>
    <w:qFormat/>
    <w:rPr>
      <w:rFonts w:ascii="Symbol" w:hAnsi="Symbol" w:eastAsia="Times New Roman" w:cs="Times New Roman"/>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1">
    <w:name w:val="WW8Num21z1"/>
    <w:qFormat/>
    <w:rPr>
      <w:rFonts w:ascii="Symbol" w:hAnsi="Symbol" w:cs="Symbol"/>
    </w:rPr>
  </w:style>
  <w:style w:type="character" w:styleId="WW8Num21z2">
    <w:name w:val="WW8Num21z2"/>
    <w:qFormat/>
    <w:rPr>
      <w:rFonts w:ascii="Wingdings" w:hAnsi="Wingdings" w:cs="Wingdings"/>
    </w:rPr>
  </w:style>
  <w:style w:type="character" w:styleId="WW8Num21z4">
    <w:name w:val="WW8Num21z4"/>
    <w:qFormat/>
    <w:rPr>
      <w:rFonts w:ascii="Courier New" w:hAnsi="Courier New" w:cs="Courier New"/>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1">
    <w:name w:val="WW8Num33z1"/>
    <w:qFormat/>
    <w:rPr>
      <w:rFonts w:ascii="Symbol" w:hAnsi="Symbol" w:cs="Symbol"/>
    </w:rPr>
  </w:style>
  <w:style w:type="character" w:styleId="WW8Num34z0">
    <w:name w:val="WW8Num34z0"/>
    <w:qFormat/>
    <w:rPr>
      <w:rFonts w:ascii="Symbol" w:hAnsi="Symbol" w:cs="Symbol"/>
    </w:rPr>
  </w:style>
  <w:style w:type="character" w:styleId="WW8Num34z4">
    <w:name w:val="WW8Num34z4"/>
    <w:qFormat/>
    <w:rPr>
      <w:rFonts w:ascii="Courier New" w:hAnsi="Courier New" w:cs="Courier New"/>
    </w:rPr>
  </w:style>
  <w:style w:type="character" w:styleId="WW8Num34z5">
    <w:name w:val="WW8Num34z5"/>
    <w:qFormat/>
    <w:rPr>
      <w:rFonts w:ascii="Wingdings" w:hAnsi="Wingdings" w:cs="Wingdings"/>
    </w:rPr>
  </w:style>
  <w:style w:type="character" w:styleId="WW8Num35z0">
    <w:name w:val="WW8Num35z0"/>
    <w:qFormat/>
    <w:rPr>
      <w:rFonts w:ascii="Symbol" w:hAnsi="Symbol" w:cs="Symbol"/>
    </w:rPr>
  </w:style>
  <w:style w:type="character" w:styleId="WW8Num35z4">
    <w:name w:val="WW8Num35z4"/>
    <w:qFormat/>
    <w:rPr>
      <w:rFonts w:ascii="Courier New" w:hAnsi="Courier New" w:cs="Courier New"/>
    </w:rPr>
  </w:style>
  <w:style w:type="character" w:styleId="WW8Num35z5">
    <w:name w:val="WW8Num35z5"/>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360" w:leader="none"/>
      </w:tabs>
      <w:ind w:hanging="360" w:start="360" w:end="0"/>
    </w:pPr>
    <w:rPr/>
  </w:style>
  <w:style w:type="paragraph" w:styleId="BlockText">
    <w:name w:val="Block Text"/>
    <w:basedOn w:val="Normal"/>
    <w:qFormat/>
    <w:pPr>
      <w:ind w:hanging="2340" w:start="2340" w:end="-270"/>
    </w:pPr>
    <w:rPr/>
  </w:style>
  <w:style w:type="paragraph" w:styleId="BodyTextIndent2">
    <w:name w:val="Body Text Indent 2"/>
    <w:basedOn w:val="Normal"/>
    <w:qFormat/>
    <w:pPr>
      <w:tabs>
        <w:tab w:val="left" w:pos="720" w:leader="none"/>
      </w:tabs>
      <w:ind w:hanging="360" w:start="720" w:end="0"/>
    </w:pPr>
    <w:rPr/>
  </w:style>
  <w:style w:type="paragraph" w:styleId="BodyTextIndent3">
    <w:name w:val="Body Text Indent 3"/>
    <w:basedOn w:val="Normal"/>
    <w:qFormat/>
    <w:pPr>
      <w:ind w:hanging="360" w:start="108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249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2001-07-18T12:38:00Z</dcterms:created>
  <dc:creator>chris foster</dc:creator>
  <dc:description/>
  <dc:language>en-CA</dc:language>
  <cp:lastModifiedBy>cfoster</cp:lastModifiedBy>
  <cp:lastPrinted>2001-07-18T12:46:00Z</cp:lastPrinted>
  <dcterms:modified xsi:type="dcterms:W3CDTF">2001-07-18T17:21:00Z</dcterms:modified>
  <cp:revision>5</cp:revision>
  <dc:subject/>
  <dc:title>Middle Market Coverage Group:  2001 Goals &amp; Performance Metrics</dc:title>
</cp:coreProperties>
</file>