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February 5, 2001</w:t>
      </w:r>
      <w:r>
        <w:rPr>
          <w:vanish/>
        </w:rPr>
        <w:t>When you need the date to remain constant, delete the date field and enter manually.  This is hidden text and will NOT print.</w:t>
      </w:r>
    </w:p>
    <w:p>
      <w:pPr>
        <w:pStyle w:val="Normal"/>
        <w:rPr>
          <w:vanish/>
        </w:rPr>
      </w:pPr>
      <w:r>
        <w:rPr>
          <w:vanish/>
        </w:rPr>
      </w:r>
    </w:p>
    <w:p>
      <w:pPr>
        <w:pStyle w:val="Normal"/>
        <w:rPr/>
      </w:pPr>
      <w:r>
        <w:rPr/>
        <w:t>Tim Belden – Vice President</w:t>
      </w:r>
    </w:p>
    <w:p>
      <w:pPr>
        <w:pStyle w:val="Normal"/>
        <w:rPr/>
      </w:pPr>
      <w:r>
        <w:rPr/>
        <w:t>Enron</w:t>
      </w:r>
    </w:p>
    <w:p>
      <w:pPr>
        <w:pStyle w:val="Normal"/>
        <w:rPr/>
      </w:pPr>
      <w:r>
        <w:rPr/>
        <w:t>121 SW Salmon</w:t>
      </w:r>
    </w:p>
    <w:p>
      <w:pPr>
        <w:pStyle w:val="Normal"/>
        <w:rPr/>
      </w:pPr>
      <w:r>
        <w:rPr/>
        <w:t xml:space="preserve">Portland, Oregon 97204 </w:t>
      </w:r>
    </w:p>
    <w:p>
      <w:pPr>
        <w:pStyle w:val="Normal"/>
        <w:rPr/>
      </w:pPr>
      <w:r>
        <w:rPr/>
      </w:r>
    </w:p>
    <w:p>
      <w:pPr>
        <w:pStyle w:val="Heading5"/>
        <w:ind w:hanging="0" w:start="0"/>
        <w:rPr/>
      </w:pPr>
      <w:r>
        <w:rPr/>
        <w:t>RE: LP Exclusive Enron Representative</w:t>
      </w:r>
    </w:p>
    <w:p>
      <w:pPr>
        <w:pStyle w:val="Normal"/>
        <w:rPr/>
      </w:pPr>
      <w:r>
        <w:rPr/>
      </w:r>
    </w:p>
    <w:p>
      <w:pPr>
        <w:pStyle w:val="Normal"/>
        <w:rPr/>
      </w:pPr>
      <w:r>
        <w:rPr/>
        <w:t>Tim,</w:t>
      </w:r>
    </w:p>
    <w:p>
      <w:pPr>
        <w:pStyle w:val="Normal"/>
        <w:rPr/>
      </w:pPr>
      <w:r>
        <w:rPr/>
      </w:r>
    </w:p>
    <w:p>
      <w:pPr>
        <w:pStyle w:val="Normal"/>
        <w:jc w:val="both"/>
        <w:rPr/>
      </w:pPr>
      <w:r>
        <w:rPr/>
        <w:t>Over the last 14 years I have had the privilege of dealing with various Enron representatives. In the first 12 years it was entirely dealing with natural gas and various Enron entities through out the US.  In those first 12 years we developed a less than desirable taste for Enron.  We found the people we had to deal with were on the arrogant and obnoxious side and they were not concerned with the welfare of the client but rather “another notch in the holster” for Enron. One of the straws that broke the camels back was a meeting in December, 1997 in Samoa, California when we invited various Energy Services Companies to meet with us on helping us manage our entire energy load which included natural gas and the emerging market of deregulation for electricity. The Enron representation at that meeting took this very lightly, informed us that Enron had all the tools and qualified personnel and that LP basically need not go through meeting other service providers, just sign here.  Well their 2-hour presentation time was limited to 45 minutes and out the door they went.  We did not deal with an Enron entity for several years after that other than to wrap up existing business and move on.</w:t>
      </w:r>
    </w:p>
    <w:p>
      <w:pPr>
        <w:pStyle w:val="Normal"/>
        <w:jc w:val="both"/>
        <w:rPr/>
      </w:pPr>
      <w:r>
        <w:rPr/>
      </w:r>
    </w:p>
    <w:p>
      <w:pPr>
        <w:pStyle w:val="Normal"/>
        <w:jc w:val="both"/>
        <w:rPr/>
      </w:pPr>
      <w:r>
        <w:rPr/>
        <w:t xml:space="preserve">Then along came this guy from Portland General who shared our concerns and was willing to work with us on our West Coast operations. Admittedly the process was slow because of our guard against an Enron entity.  But as time went on, trust was building and we soon learned that this guy, John Malowney, was open, honest, trustworthy and had expertise we desperately needed in the electricity market place.  We also found that the people that worked with John were very similar and could be trusted for specific information and didn’t treat us like we were outsiders and were very helpful in John’s absence.  Hence, we now have a master contract in place for various energy products.  Enron supplies LP electricity for our Missoula, Montana plant, Toledo, Ohio plant and helps with the sales of power from our Samoa, California facility and our Missoula facility.  I have even bitten the bullet and allowed Enron to supply our Silsbee, Texas operation natural gas. </w:t>
      </w:r>
    </w:p>
    <w:p>
      <w:pPr>
        <w:pStyle w:val="Normal"/>
        <w:jc w:val="both"/>
        <w:rPr/>
      </w:pPr>
      <w:r>
        <w:rPr/>
      </w:r>
    </w:p>
    <w:p>
      <w:pPr>
        <w:pStyle w:val="Normal"/>
        <w:jc w:val="both"/>
        <w:rPr/>
      </w:pPr>
      <w:r>
        <w:rPr/>
        <w:t xml:space="preserve">Which brings us to our main point: </w:t>
      </w:r>
      <w:r>
        <w:rPr>
          <w:b/>
          <w:i/>
        </w:rPr>
        <w:t>We (LP) would like to have a single point of contact with Enron.  And we would like to have John Malowney as that single point.</w:t>
      </w:r>
      <w:r>
        <w:rPr/>
        <w:t xml:space="preserve">  LP has over 60 manufacturing facilities in the US and Canada and several out side of North America.  We operate in 28 states, 4 provinces of Canada, Ireland and Chile. In additional we have several new facilities that are in the pre– construction state.  Our total energy spends for 2000 was in excess of $115,000,000. Not huge by Enron’s standards, but very substantial to LP.</w:t>
      </w:r>
    </w:p>
    <w:p>
      <w:pPr>
        <w:pStyle w:val="Normal"/>
        <w:jc w:val="both"/>
        <w:rPr/>
      </w:pPr>
      <w:r>
        <w:rPr/>
      </w:r>
    </w:p>
    <w:p>
      <w:pPr>
        <w:pStyle w:val="BodyText"/>
        <w:rPr/>
      </w:pPr>
      <w:r>
        <w:rPr/>
        <w:t xml:space="preserve">We have an Energy Team that is accountable for managing the energy for LP. The team consists of myself as the leader, Doug Anderson our legal representative and Bob Buckingham, an energy consultant that dedicates 100% of his resources to LP. The initial strategy of the team was as follows: </w:t>
      </w:r>
      <w:r>
        <w:rPr>
          <w:i/>
        </w:rPr>
        <w:t>To provide clean energy to the corporation by increasing power factors over 90% and eliminate PF penalties; take electricity at the highest voltage possible; single metering each site; eliminate damaging harmonics in each site; and obtain the most optimum utility rate available.</w:t>
      </w:r>
      <w:r>
        <w:rPr/>
        <w:t xml:space="preserve">  Today, all LP facilities meet these criteria. The initial strategy was to prepare the company for deregulation and hopefully be the “cherry to be picked” by energy concerns.  Projects currently being worked on by the energy team include 5 co-generation projects, power monitoring at 3 sites and a distributive generation project.  Successes in these projects will be propelled through other applicable sites within the organization. </w:t>
      </w:r>
    </w:p>
    <w:p>
      <w:pPr>
        <w:pStyle w:val="Normal"/>
        <w:rPr/>
      </w:pPr>
      <w:r>
        <w:rPr/>
      </w:r>
    </w:p>
    <w:p>
      <w:pPr>
        <w:pStyle w:val="Normal"/>
        <w:jc w:val="both"/>
        <w:rPr/>
      </w:pPr>
      <w:r>
        <w:rPr/>
        <w:t>As we move forward into the uncharted waters of deregulation we find that each state has different rules and regulations.  In 2001 Michigan will deregulate, affecting 4 LP facilities, Ohio, affecting 1 facility, Ontario, affecting 1 facility, Oregon, affecting 1 facility and deregulation in Texas slated for January 1</w:t>
      </w:r>
      <w:r>
        <w:rPr>
          <w:vertAlign w:val="superscript"/>
        </w:rPr>
        <w:t>st</w:t>
      </w:r>
      <w:r>
        <w:rPr/>
        <w:t>, 2002 will affect 5 facilities.  Additional deregulation in California will have impact on 3 facilities and in Montana 1 facility.  We find that we need more expertise in this minefield of deregulation.  I must note at this time that Enron has the supply agreement for our Toledo facility but we do not feel this agreement was proper for either side.  Once again the local Enron entity made direct contact with the plant, flashed a $19,000 savings at them and they signed.  Additional opportunities for both sides were lost and we now feel trapped with an agreement that could cost us potential long–term options.</w:t>
      </w:r>
    </w:p>
    <w:p>
      <w:pPr>
        <w:pStyle w:val="Normal"/>
        <w:jc w:val="both"/>
        <w:rPr/>
      </w:pPr>
      <w:r>
        <w:rPr/>
      </w:r>
    </w:p>
    <w:p>
      <w:pPr>
        <w:pStyle w:val="Normal"/>
        <w:jc w:val="both"/>
        <w:rPr/>
      </w:pPr>
      <w:r>
        <w:rPr/>
        <w:t>Our vision statement says “</w:t>
      </w:r>
      <w:r>
        <w:rPr>
          <w:b/>
          <w:u w:val="single"/>
        </w:rPr>
        <w:t>To provide our production facilities a continuous flow of electrical &amp; natural gas energy as required at the lowest cost available while reducing financial and physical supply risk.”</w:t>
      </w:r>
      <w:r>
        <w:rPr>
          <w:b/>
        </w:rPr>
        <w:t xml:space="preserve">  </w:t>
      </w:r>
      <w:r>
        <w:rPr/>
        <w:t>The strategy for 2001 and beyond now becomes one of actually managing the supply physically and financially. Obtaining a physical supply of quantity and reliability and using financial instruments to take the spikes and surges out of supply costs and meeting budget expectations becomes very critical, thus the request for John Malowney.</w:t>
      </w:r>
    </w:p>
    <w:p>
      <w:pPr>
        <w:pStyle w:val="Normal"/>
        <w:jc w:val="both"/>
        <w:rPr/>
      </w:pPr>
      <w:r>
        <w:rPr/>
      </w:r>
    </w:p>
    <w:p>
      <w:pPr>
        <w:pStyle w:val="BodyText"/>
        <w:rPr/>
      </w:pPr>
      <w:r>
        <w:rPr/>
        <w:t xml:space="preserve">We would like to have John join our Energy Team. His expertise and contacts within the Enron organization would be very critical to developing and implementing a financial strategy in managing our energy.  We would propose he be a direct member of the Team, provide input on natural gas and eventually electric hedging strategies and provide assistance in the decision making process.  John would attend our quarterly face to face meetings, meet with our 5 business core teams when requested and participate in conference calls on a bi-monthly basis. Time commitment annually on John’s part would be approximately 25% but would require more involvement in the up front process.  The benefits to Enron and John would be securing a larger portion of LP’s business.   This would not be a guarantee of securing any additional business but would give Enron a tremendous opportunity to do so. We trust that John would guide both concerns so that mutual benefit is derived from all decisions. We know that our request is out of the norm with the present culture at Enron.  We have had other energy services providers approach us with similar requests.  Unfortunately these have been regional players with little or limited expertise outside of their regional capabilities.  We have been searching for someone that is backed by an organization that is national and international in scope. </w:t>
      </w:r>
    </w:p>
    <w:p>
      <w:pPr>
        <w:pStyle w:val="Normal"/>
        <w:jc w:val="both"/>
        <w:rPr/>
      </w:pPr>
      <w:r>
        <w:rPr/>
      </w:r>
    </w:p>
    <w:p>
      <w:pPr>
        <w:pStyle w:val="Normal"/>
        <w:jc w:val="both"/>
        <w:rPr/>
      </w:pPr>
      <w:r>
        <w:rPr/>
        <w:t xml:space="preserve">We would hope that you not take this request lightly.  Our manufacturing sites receive calls periodically from various Enron entities proposing various contracts to them.  Some just blow them off, some pass them on our team to be dealt with but in all instances they do not understand or take the time to understand the total LP strategy for managing energy, thus opportunities are lost, on both sides.  By having a sole and direct point of contact within Enron those opportunities can be maximized. </w:t>
      </w:r>
    </w:p>
    <w:p>
      <w:pPr>
        <w:pStyle w:val="Normal"/>
        <w:jc w:val="both"/>
        <w:rPr/>
      </w:pPr>
      <w:r>
        <w:rPr/>
      </w:r>
    </w:p>
    <w:p>
      <w:pPr>
        <w:pStyle w:val="Normal"/>
        <w:jc w:val="both"/>
        <w:rPr>
          <w:rFonts w:eastAsia="Arial"/>
        </w:rPr>
      </w:pPr>
      <w:r>
        <w:rPr>
          <w:rFonts w:eastAsia="Arial"/>
        </w:rPr>
        <w:t xml:space="preserve"> </w:t>
      </w:r>
    </w:p>
    <w:p>
      <w:pPr>
        <w:pStyle w:val="Normal"/>
        <w:rPr/>
      </w:pPr>
      <w:r>
        <w:rPr/>
        <w:t>Sincerely,</w:t>
      </w:r>
    </w:p>
    <w:p>
      <w:pPr>
        <w:pStyle w:val="Normal"/>
        <w:rPr/>
      </w:pPr>
      <w:r>
        <w:rPr/>
      </w:r>
    </w:p>
    <w:p>
      <w:pPr>
        <w:pStyle w:val="Normal"/>
        <w:rPr/>
      </w:pPr>
      <w:r>
        <w:rPr/>
      </w:r>
    </w:p>
    <w:p>
      <w:pPr>
        <w:pStyle w:val="Normal"/>
        <w:rPr/>
      </w:pPr>
      <w:r>
        <w:rPr/>
      </w:r>
    </w:p>
    <w:p>
      <w:pPr>
        <w:pStyle w:val="Normal"/>
        <w:rPr/>
      </w:pPr>
      <w:r>
        <w:rPr/>
      </w:r>
    </w:p>
    <w:p>
      <w:pPr>
        <w:pStyle w:val="Normal"/>
        <w:rPr/>
      </w:pPr>
      <w:r>
        <w:rPr/>
        <w:t>Roger L. Dieringer</w:t>
      </w:r>
    </w:p>
    <w:p>
      <w:pPr>
        <w:pStyle w:val="Normal"/>
        <w:rPr/>
      </w:pPr>
      <w:r>
        <w:rPr/>
        <w:t>Corporate Supply Manager - Energy</w:t>
      </w:r>
    </w:p>
    <w:p>
      <w:pPr>
        <w:pStyle w:val="Normal"/>
        <w:rPr/>
      </w:pPr>
      <w:r>
        <w:rPr/>
      </w:r>
    </w:p>
    <w:p>
      <w:pPr>
        <w:pStyle w:val="Normal"/>
        <w:rPr/>
      </w:pPr>
      <w:r>
        <w:rPr/>
      </w:r>
    </w:p>
    <w:p>
      <w:pPr>
        <w:pStyle w:val="Normal"/>
        <w:rPr/>
      </w:pPr>
      <w:r>
        <w:rPr/>
        <w:t>cc:  Bob Buckingham – LP Energy Team</w:t>
      </w:r>
    </w:p>
    <w:p>
      <w:pPr>
        <w:pStyle w:val="Normal"/>
        <w:rPr/>
      </w:pPr>
      <w:r>
        <w:rPr>
          <w:rFonts w:eastAsia="Arial"/>
        </w:rPr>
        <w:t xml:space="preserve">       </w:t>
      </w:r>
      <w:r>
        <w:rPr/>
        <w:t>Doug Anderson – LP Energy Team</w:t>
      </w:r>
    </w:p>
    <w:p>
      <w:pPr>
        <w:pStyle w:val="Normal"/>
        <w:rPr/>
      </w:pPr>
      <w:r>
        <w:rPr/>
      </w:r>
    </w:p>
    <w:sectPr>
      <w:headerReference w:type="default" r:id="rId2"/>
      <w:headerReference w:type="first" r:id="rId3"/>
      <w:footerReference w:type="default" r:id="rId4"/>
      <w:footerReference w:type="first" r:id="rId5"/>
      <w:type w:val="nextPage"/>
      <w:pgSz w:w="12240" w:h="15840"/>
      <w:pgMar w:left="1530" w:right="1440" w:gutter="0" w:header="189" w:top="245" w:footer="900" w:bottom="126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Louisiana-Pacific Corporation</w:t>
    </w:r>
  </w:p>
  <w:p>
    <w:pPr>
      <w:pStyle w:val="Footer"/>
      <w:rPr/>
    </w:pPr>
    <w:r>
      <w:rPr/>
      <w:t>P O Box 3107 Conroe, Texas 77305 phone 936-788-9759</w:t>
    </w:r>
    <w:r>
      <w:rPr>
        <w:b/>
      </w:rPr>
      <w:t xml:space="preserve"> fax: 936-760-5907</w:t>
    </w:r>
  </w:p>
  <w:p>
    <w:pPr>
      <w:pStyle w:val="Footer"/>
      <w:rPr>
        <w:b/>
      </w:rPr>
    </w:pPr>
    <w:r>
      <w:rPr>
        <w:b/>
      </w:rPr>
      <w:t>Roger.Dieringer@LPCorp.com</w:t>
    </w:r>
  </w:p>
  <w:p>
    <w:pPr>
      <w:pStyle w:val="Footer"/>
      <w:rPr/>
    </w:pPr>
    <w:r>
      <w:rPr/>
      <w:t>www.lpcorp.com</w:t>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pPr>
    <w:r>
      <w:rPr/>
    </w:r>
  </w:p>
  <w:p>
    <w:pPr>
      <w:pStyle w:val="Footer"/>
      <w:rPr/>
    </w:pPr>
    <w:r>
      <w:rPr/>
      <w:t>Louisiana-Pacific Corporation</w:t>
    </w:r>
  </w:p>
  <w:p>
    <w:pPr>
      <w:pStyle w:val="Footer"/>
      <w:rPr/>
    </w:pPr>
    <w:r>
      <w:rPr/>
      <w:t>P O Box 3107 Conroe, Texas 77305 phone 936-788-9759</w:t>
    </w:r>
    <w:r>
      <w:rPr>
        <w:b/>
      </w:rPr>
      <w:t xml:space="preserve"> fax: 936-760-5907</w:t>
    </w:r>
  </w:p>
  <w:p>
    <w:pPr>
      <w:pStyle w:val="Footer"/>
      <w:rPr>
        <w:b/>
      </w:rPr>
    </w:pPr>
    <w:r>
      <w:rPr>
        <w:b/>
      </w:rPr>
      <w:t>Roger.Dieringer@LPCorp.com</w:t>
    </w:r>
  </w:p>
  <w:p>
    <w:pPr>
      <w:pStyle w:val="Footer"/>
      <w:rPr/>
    </w:pPr>
    <w:r>
      <w:rPr/>
      <w:t>www.lpcorp.com</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p>
    <w:pPr>
      <w:pStyle w:val="Normal"/>
      <w:rPr/>
    </w:pPr>
    <w:r>
      <w:rPr/>
      <w:t xml:space="preserve">Page </w:t>
    </w:r>
    <w:r>
      <w:rPr/>
      <w:fldChar w:fldCharType="begin"/>
    </w:r>
    <w:r>
      <w:rPr/>
      <w:instrText xml:space="preserve"> PAGE </w:instrText>
    </w:r>
    <w:r>
      <w:rPr/>
      <w:fldChar w:fldCharType="separate"/>
    </w:r>
    <w:r>
      <w:rPr/>
      <w:t>3</w:t>
    </w:r>
    <w:r>
      <w:rPr/>
      <w:fldChar w:fldCharType="end"/>
    </w:r>
  </w:p>
  <w:p>
    <w:pPr>
      <w:pStyle w:val="Normal"/>
      <w:rPr/>
    </w:pPr>
    <w:r>
      <w:rPr/>
      <w:fldChar w:fldCharType="begin"/>
    </w:r>
    <w:r>
      <w:rPr/>
      <w:instrText xml:space="preserve"> CREATEDATE \@"MMMM\ d', 'yyyy" </w:instrText>
    </w:r>
    <w:r>
      <w:rPr/>
      <w:fldChar w:fldCharType="separate"/>
    </w:r>
    <w:r>
      <w:rPr/>
      <w:t>February 4, 2001</w:t>
    </w:r>
    <w:r>
      <w:rPr/>
      <w:fldChar w:fldCharType="end"/>
    </w:r>
  </w:p>
  <w:p>
    <w:pPr>
      <w:pStyle w:val="Normal"/>
      <w:rPr/>
    </w:pPr>
    <w:r>
      <w:rPr/>
    </w:r>
  </w:p>
  <w:p>
    <w:pPr>
      <w:pStyle w:val="Normal"/>
      <w:rPr/>
    </w:pPr>
    <w:r>
      <w:rPr/>
    </w:r>
  </w:p>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rPr>
    </w:pPr>
    <w:r>
      <w:rPr>
        <w:lang w:val="en-CA"/>
      </w:rPr>
      <mc:AlternateContent>
        <mc:Choice Requires="wps">
          <w:drawing>
            <wp:anchor behindDoc="0" distT="0" distB="0" distL="114935" distR="114935" simplePos="0" locked="0" layoutInCell="0" allowOverlap="1" relativeHeight="2">
              <wp:simplePos x="0" y="0"/>
              <wp:positionH relativeFrom="page">
                <wp:posOffset>6858000</wp:posOffset>
              </wp:positionH>
              <wp:positionV relativeFrom="page">
                <wp:posOffset>0</wp:posOffset>
              </wp:positionV>
              <wp:extent cx="0" cy="2395855"/>
              <wp:effectExtent l="1905" t="0" r="1905" b="0"/>
              <wp:wrapTopAndBottom/>
              <wp:docPr id="1" name=""/>
              <a:graphic xmlns:a="http://schemas.openxmlformats.org/drawingml/2006/main">
                <a:graphicData uri="http://schemas.microsoft.com/office/word/2010/wordprocessingShape">
                  <wps:wsp>
                    <wps:cNvSpPr/>
                    <wps:spPr>
                      <a:xfrm flipV="1">
                        <a:off x="0" y="0"/>
                        <a:ext cx="0" cy="2395800"/>
                      </a:xfrm>
                      <a:prstGeom prst="line">
                        <a:avLst/>
                      </a:prstGeom>
                      <a:ln w="3240">
                        <a:solidFill>
                          <a:srgbClr val="ffffff"/>
                        </a:solidFill>
                        <a:miter/>
                      </a:ln>
                    </wps:spPr>
                    <wps:style>
                      <a:lnRef idx="0"/>
                      <a:fillRef idx="0"/>
                      <a:effectRef idx="0"/>
                      <a:fontRef idx="minor"/>
                    </wps:style>
                    <wps:bodyPr/>
                  </wps:wsp>
                </a:graphicData>
              </a:graphic>
            </wp:anchor>
          </w:drawing>
        </mc:Choice>
        <mc:Fallback>
          <w:pict>
            <v:line id="shape_0" from="540pt,0pt" to="540pt,188.6pt" stroked="t" o:allowincell="f" style="position:absolute;flip:y;mso-position-horizontal-relative:page;mso-position-vertical-relative:page">
              <v:stroke color="white" weight="3240" joinstyle="miter" endcap="flat"/>
              <v:fill o:detectmouseclick="t" on="false"/>
              <w10:wrap type="topAndBottom"/>
            </v:line>
          </w:pict>
        </mc:Fallback>
      </mc:AlternateContent>
      <w:drawing>
        <wp:anchor behindDoc="1" distT="0" distB="0" distL="114935" distR="114935" simplePos="0" locked="0" layoutInCell="0" allowOverlap="1" relativeHeight="3">
          <wp:simplePos x="0" y="0"/>
          <wp:positionH relativeFrom="page">
            <wp:posOffset>1320800</wp:posOffset>
          </wp:positionH>
          <wp:positionV relativeFrom="page">
            <wp:posOffset>1028700</wp:posOffset>
          </wp:positionV>
          <wp:extent cx="982980" cy="807720"/>
          <wp:effectExtent l="0" t="0" r="0" b="0"/>
          <wp:wrapNone/>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rcRect l="-37" t="-45" r="-37" b="-45"/>
                  <a:stretch>
                    <a:fillRect/>
                  </a:stretch>
                </pic:blipFill>
                <pic:spPr bwMode="auto">
                  <a:xfrm>
                    <a:off x="0" y="0"/>
                    <a:ext cx="982980" cy="807720"/>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tLeast" w:line="260"/>
    </w:pPr>
    <w:rPr>
      <w:rFonts w:ascii="Arial" w:hAnsi="Arial" w:eastAsia="Times;Times New Roman" w:cs="Arial"/>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734" w:leader="none"/>
        <w:tab w:val="left" w:pos="907" w:leader="none"/>
        <w:tab w:val="left" w:pos="1440" w:leader="none"/>
        <w:tab w:val="left" w:pos="8381" w:leader="none"/>
        <w:tab w:val="center" w:pos="9360" w:leader="none"/>
        <w:tab w:val="left" w:pos="9533" w:leader="none"/>
      </w:tabs>
      <w:spacing w:lineRule="auto" w:line="240"/>
      <w:jc w:val="end"/>
      <w:outlineLvl w:val="0"/>
    </w:pPr>
    <w:rPr>
      <w:rFonts w:eastAsia="Times New Roman"/>
      <w:b/>
      <w:sz w:val="22"/>
    </w:rPr>
  </w:style>
  <w:style w:type="paragraph" w:styleId="Heading2">
    <w:name w:val="heading 2"/>
    <w:basedOn w:val="Normal"/>
    <w:next w:val="Normal"/>
    <w:qFormat/>
    <w:pPr>
      <w:keepNext w:val="true"/>
      <w:numPr>
        <w:ilvl w:val="1"/>
        <w:numId w:val="1"/>
      </w:numPr>
      <w:tabs>
        <w:tab w:val="clear" w:pos="720"/>
        <w:tab w:val="left" w:pos="734" w:leader="none"/>
        <w:tab w:val="left" w:pos="907" w:leader="none"/>
        <w:tab w:val="left" w:pos="1440" w:leader="none"/>
        <w:tab w:val="left" w:pos="8381" w:leader="none"/>
        <w:tab w:val="center" w:pos="9360" w:leader="none"/>
        <w:tab w:val="left" w:pos="9533" w:leader="none"/>
      </w:tabs>
      <w:spacing w:lineRule="auto" w:line="240"/>
      <w:ind w:hanging="0" w:start="522" w:end="0"/>
      <w:jc w:val="both"/>
      <w:outlineLvl w:val="1"/>
    </w:pPr>
    <w:rPr>
      <w:rFonts w:eastAsia="Times New Roman"/>
      <w:b/>
      <w:sz w:val="22"/>
    </w:rPr>
  </w:style>
  <w:style w:type="paragraph" w:styleId="Heading3">
    <w:name w:val="heading 3"/>
    <w:basedOn w:val="Normal"/>
    <w:next w:val="Normal"/>
    <w:qFormat/>
    <w:pPr>
      <w:keepNext w:val="true"/>
      <w:numPr>
        <w:ilvl w:val="2"/>
        <w:numId w:val="1"/>
      </w:numPr>
      <w:tabs>
        <w:tab w:val="clear" w:pos="720"/>
        <w:tab w:val="left" w:pos="734" w:leader="none"/>
        <w:tab w:val="left" w:pos="907" w:leader="none"/>
        <w:tab w:val="left" w:pos="1973" w:leader="none"/>
        <w:tab w:val="left" w:pos="8381" w:leader="none"/>
        <w:tab w:val="center" w:pos="9360" w:leader="none"/>
        <w:tab w:val="left" w:pos="9533" w:leader="none"/>
      </w:tabs>
      <w:spacing w:lineRule="auto" w:line="240"/>
      <w:ind w:hanging="0" w:start="1080" w:end="0"/>
      <w:jc w:val="both"/>
      <w:outlineLvl w:val="2"/>
    </w:pPr>
    <w:rPr>
      <w:rFonts w:eastAsia="Times New Roman"/>
      <w:b/>
      <w:sz w:val="22"/>
      <w:u w:val="single"/>
    </w:rPr>
  </w:style>
  <w:style w:type="paragraph" w:styleId="Heading4">
    <w:name w:val="heading 4"/>
    <w:basedOn w:val="Normal"/>
    <w:next w:val="Normal"/>
    <w:qFormat/>
    <w:pPr>
      <w:keepNext w:val="true"/>
      <w:numPr>
        <w:ilvl w:val="3"/>
        <w:numId w:val="1"/>
      </w:numPr>
      <w:tabs>
        <w:tab w:val="clear" w:pos="720"/>
        <w:tab w:val="left" w:pos="734" w:leader="none"/>
        <w:tab w:val="left" w:pos="907" w:leader="none"/>
        <w:tab w:val="left" w:pos="1973" w:leader="none"/>
        <w:tab w:val="left" w:pos="8381" w:leader="none"/>
        <w:tab w:val="center" w:pos="9360" w:leader="none"/>
        <w:tab w:val="left" w:pos="9533" w:leader="none"/>
      </w:tabs>
      <w:spacing w:lineRule="auto" w:line="240"/>
      <w:ind w:hanging="0" w:start="1080" w:end="0"/>
      <w:jc w:val="center"/>
      <w:outlineLvl w:val="3"/>
    </w:pPr>
    <w:rPr>
      <w:rFonts w:eastAsia="Times New Roman"/>
      <w:b/>
      <w:i/>
      <w:sz w:val="22"/>
      <w:u w:val="single"/>
    </w:rPr>
  </w:style>
  <w:style w:type="paragraph" w:styleId="Heading5">
    <w:name w:val="heading 5"/>
    <w:basedOn w:val="Normal"/>
    <w:next w:val="Normal"/>
    <w:qFormat/>
    <w:pPr>
      <w:keepNext w:val="true"/>
      <w:numPr>
        <w:ilvl w:val="4"/>
        <w:numId w:val="1"/>
      </w:numPr>
      <w:outlineLvl w:val="4"/>
    </w:pPr>
    <w:rPr>
      <w:b/>
    </w:rPr>
  </w:style>
  <w:style w:type="character" w:styleId="DefaultParagraphFont">
    <w:name w:val="Default Paragraph Font"/>
    <w:qForma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spacing w:lineRule="exact" w:line="180"/>
    </w:pPr>
    <w:rPr>
      <w:sz w:val="14"/>
    </w:rPr>
  </w:style>
  <w:style w:type="paragraph" w:styleId="Footer">
    <w:name w:val="footer"/>
    <w:basedOn w:val="Normal"/>
    <w:pPr>
      <w:spacing w:lineRule="exact" w:line="180"/>
    </w:pPr>
    <w:rPr>
      <w:sz w:val="14"/>
    </w:rPr>
  </w:style>
  <w:style w:type="paragraph" w:styleId="Prompts">
    <w:name w:val="Prompts"/>
    <w:basedOn w:val="Normal"/>
    <w:qFormat/>
    <w:pPr>
      <w:spacing w:lineRule="exact" w:line="240"/>
    </w:pPr>
    <w:rPr>
      <w:rFonts w:eastAsia="Times New Roman"/>
      <w:b/>
      <w:sz w:val="16"/>
    </w:rPr>
  </w:style>
  <w:style w:type="paragraph" w:styleId="BodyTextIndent">
    <w:name w:val="Body Text Indent"/>
    <w:basedOn w:val="Normal"/>
    <w:pPr>
      <w:tabs>
        <w:tab w:val="clear" w:pos="720"/>
        <w:tab w:val="left" w:pos="734" w:leader="none"/>
        <w:tab w:val="left" w:pos="907" w:leader="none"/>
        <w:tab w:val="left" w:pos="1440" w:leader="none"/>
        <w:tab w:val="left" w:pos="8381" w:leader="none"/>
        <w:tab w:val="center" w:pos="9360" w:leader="none"/>
        <w:tab w:val="left" w:pos="9533" w:leader="none"/>
      </w:tabs>
      <w:spacing w:lineRule="auto" w:line="240"/>
      <w:ind w:hanging="0" w:start="1440" w:end="0"/>
      <w:jc w:val="both"/>
    </w:pPr>
    <w:rPr>
      <w:rFonts w:eastAsia="Times New Roman"/>
      <w:sz w:val="22"/>
    </w:rPr>
  </w:style>
  <w:style w:type="paragraph" w:styleId="BodyTextIndent2">
    <w:name w:val="Body Text Indent 2"/>
    <w:basedOn w:val="Normal"/>
    <w:qFormat/>
    <w:pPr>
      <w:tabs>
        <w:tab w:val="clear" w:pos="720"/>
        <w:tab w:val="left" w:pos="734" w:leader="none"/>
        <w:tab w:val="left" w:pos="907" w:leader="none"/>
        <w:tab w:val="left" w:pos="1440" w:leader="none"/>
        <w:tab w:val="left" w:pos="8381" w:leader="none"/>
        <w:tab w:val="center" w:pos="9360" w:leader="none"/>
        <w:tab w:val="left" w:pos="9533" w:leader="none"/>
      </w:tabs>
      <w:spacing w:lineRule="auto" w:line="240"/>
      <w:ind w:hanging="0" w:start="1440" w:end="0"/>
      <w:jc w:val="both"/>
    </w:pPr>
    <w:rPr>
      <w:rFonts w:eastAsia="Times New Roman"/>
      <w:color w:val="FF0000"/>
      <w:sz w:val="22"/>
    </w:rPr>
  </w:style>
  <w:style w:type="paragraph" w:styleId="CommentText">
    <w:name w:val="Comment Text"/>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 - Tim Belden 1-9-01.dot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2001-02-05T11:53:00Z</dcterms:created>
  <dc:creator>Compaq</dc:creator>
  <dc:description/>
  <dc:language>en-CA</dc:language>
  <cp:lastModifiedBy>Roger Dieringer</cp:lastModifiedBy>
  <cp:lastPrinted>2000-09-28T15:13:00Z</cp:lastPrinted>
  <dcterms:modified xsi:type="dcterms:W3CDTF">2001-02-05T11:53:00Z</dcterms:modified>
  <cp:revision>2</cp:revision>
  <dc:subject/>
  <dc:title>September 28, 2000</dc:title>
</cp:coreProperties>
</file>