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9900" w:leader="none"/>
        </w:tabs>
        <w:rPr/>
      </w:pPr>
      <w:bookmarkStart w:id="0" w:name="_963041030"/>
      <w:bookmarkEnd w:id="0"/>
      <w:r>
        <w:rPr>
          <w:rFonts w:cs="Arial" w:ascii="Arial" w:hAnsi="Arial"/>
          <w:b/>
          <w:spacing w:val="-4"/>
          <w:sz w:val="35"/>
        </w:rPr>
        <w:object w:dxaOrig="2851"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1.6pt;height:75.75pt" filled="f" o:ole="">
            <v:imagedata r:id="rId3" o:title=""/>
          </v:shape>
          <o:OLEObject Type="Embed" ProgID="" ShapeID="ole_rId2" DrawAspect="Content" ObjectID="_1490084016" r:id="rId2"/>
        </w:object>
      </w:r>
      <w:r>
        <w:rPr/>
        <w:tab/>
      </w:r>
    </w:p>
    <w:p>
      <w:pPr>
        <w:pStyle w:val="Normal"/>
        <w:tabs>
          <w:tab w:val="left" w:pos="540" w:leader="none"/>
          <w:tab w:val="right" w:pos="9900" w:leader="none"/>
        </w:tabs>
        <w:rPr/>
      </w:pPr>
      <w:r>
        <w:rPr/>
        <w:t>Job Description/Posting</w:t>
      </w:r>
    </w:p>
    <w:tbl>
      <w:tblPr>
        <w:tblW w:w="10282" w:type="dxa"/>
        <w:jc w:val="start"/>
        <w:tblInd w:w="0" w:type="dxa"/>
        <w:tblLayout w:type="fixed"/>
        <w:tblCellMar>
          <w:top w:w="0" w:type="dxa"/>
          <w:start w:w="108" w:type="dxa"/>
          <w:bottom w:w="0" w:type="dxa"/>
          <w:end w:w="108" w:type="dxa"/>
        </w:tblCellMar>
      </w:tblPr>
      <w:tblGrid>
        <w:gridCol w:w="745"/>
        <w:gridCol w:w="2135"/>
        <w:gridCol w:w="1206"/>
        <w:gridCol w:w="4"/>
        <w:gridCol w:w="2156"/>
        <w:gridCol w:w="2520"/>
        <w:gridCol w:w="1512"/>
        <w:gridCol w:w="4"/>
      </w:tblGrid>
      <w:tr>
        <w:trPr>
          <w:trHeight w:val="480" w:hRule="atLeast"/>
        </w:trPr>
        <w:tc>
          <w:tcPr>
            <w:tcW w:w="745" w:type="dxa"/>
            <w:tcBorders>
              <w:top w:val="single" w:sz="6" w:space="0" w:color="000000"/>
            </w:tcBorders>
          </w:tcPr>
          <w:p>
            <w:pPr>
              <w:pStyle w:val="Normal"/>
              <w:rPr>
                <w:caps/>
                <w:sz w:val="16"/>
              </w:rPr>
            </w:pPr>
            <w:r>
              <w:rPr>
                <w:caps/>
                <w:sz w:val="16"/>
              </w:rPr>
              <w:t>Title</w:t>
            </w:r>
          </w:p>
        </w:tc>
        <w:tc>
          <w:tcPr>
            <w:tcW w:w="3341" w:type="dxa"/>
            <w:gridSpan w:val="2"/>
            <w:tcBorders>
              <w:top w:val="single" w:sz="6" w:space="0" w:color="000000"/>
              <w:end w:val="single" w:sz="6" w:space="0" w:color="000000"/>
            </w:tcBorders>
          </w:tcPr>
          <w:p>
            <w:pPr>
              <w:pStyle w:val="Normal"/>
              <w:snapToGrid w:val="false"/>
              <w:rPr>
                <w:caps/>
                <w:sz w:val="16"/>
              </w:rPr>
            </w:pPr>
            <w:r>
              <w:rPr>
                <w:caps/>
                <w:sz w:val="16"/>
              </w:rPr>
            </w:r>
          </w:p>
          <w:p>
            <w:pPr>
              <w:pStyle w:val="FootnoteText"/>
              <w:rPr>
                <w:caps/>
              </w:rPr>
            </w:pPr>
            <w:r>
              <w:rPr>
                <w:caps/>
              </w:rPr>
              <w:t>vice president, federal government affairs: energy issueS</w:t>
            </w:r>
          </w:p>
        </w:tc>
        <w:tc>
          <w:tcPr>
            <w:tcW w:w="2160" w:type="dxa"/>
            <w:gridSpan w:val="2"/>
            <w:tcBorders>
              <w:top w:val="single" w:sz="6" w:space="0" w:color="000000"/>
              <w:end w:val="single" w:sz="6" w:space="0" w:color="000000"/>
            </w:tcBorders>
          </w:tcPr>
          <w:p>
            <w:pPr>
              <w:pStyle w:val="Normal"/>
              <w:rPr>
                <w:caps/>
                <w:sz w:val="16"/>
              </w:rPr>
            </w:pPr>
            <w:r>
              <w:rPr>
                <w:caps/>
                <w:sz w:val="16"/>
              </w:rPr>
              <w:t>Job No.</w:t>
            </w:r>
          </w:p>
          <w:p>
            <w:pPr>
              <w:pStyle w:val="Normal"/>
              <w:tabs>
                <w:tab w:val="clear" w:pos="540"/>
                <w:tab w:val="left" w:pos="216" w:leader="none"/>
              </w:tabs>
              <w:rPr>
                <w:caps/>
                <w:sz w:val="20"/>
              </w:rPr>
            </w:pPr>
            <w:r>
              <w:rPr>
                <w:caps/>
                <w:sz w:val="20"/>
              </w:rPr>
            </w:r>
          </w:p>
          <w:p>
            <w:pPr>
              <w:pStyle w:val="Normal"/>
              <w:tabs>
                <w:tab w:val="clear" w:pos="540"/>
                <w:tab w:val="left" w:pos="216" w:leader="none"/>
              </w:tabs>
              <w:rPr>
                <w:caps/>
                <w:sz w:val="16"/>
              </w:rPr>
            </w:pPr>
            <w:r>
              <w:rPr>
                <w:caps/>
                <w:sz w:val="20"/>
              </w:rPr>
              <w:fldChar w:fldCharType="begin"/>
            </w:r>
            <w:r>
              <w:rPr>
                <w:caps/>
                <w:sz w:val="20"/>
              </w:rPr>
              <w:instrText xml:space="preserve"> FILLIN "Enter the Job Number"</w:instrText>
            </w:r>
            <w:r>
              <w:rPr>
                <w:caps/>
                <w:sz w:val="20"/>
              </w:rPr>
              <w:fldChar w:fldCharType="separate"/>
            </w:r>
            <w:r>
              <w:rPr>
                <w:caps/>
                <w:sz w:val="20"/>
              </w:rPr>
            </w:r>
            <w:r>
              <w:rPr>
                <w:caps/>
                <w:sz w:val="20"/>
              </w:rPr>
              <w:fldChar w:fldCharType="end"/>
            </w:r>
          </w:p>
        </w:tc>
        <w:tc>
          <w:tcPr>
            <w:tcW w:w="2520" w:type="dxa"/>
            <w:tcBorders>
              <w:top w:val="single" w:sz="6" w:space="0" w:color="000000"/>
              <w:end w:val="single" w:sz="6" w:space="0" w:color="000000"/>
            </w:tcBorders>
          </w:tcPr>
          <w:p>
            <w:pPr>
              <w:pStyle w:val="Normal"/>
              <w:rPr>
                <w:caps/>
                <w:sz w:val="16"/>
              </w:rPr>
            </w:pPr>
            <w:r>
              <w:rPr>
                <w:caps/>
                <w:sz w:val="16"/>
              </w:rPr>
              <w:t>POSITION STATUS</w:t>
            </w:r>
          </w:p>
          <w:p>
            <w:pPr>
              <w:pStyle w:val="Normal"/>
              <w:rPr>
                <w:caps/>
                <w:sz w:val="16"/>
              </w:rPr>
            </w:pPr>
            <w:r>
              <w:rPr>
                <w:caps/>
                <w:sz w:val="16"/>
              </w:rPr>
            </w:r>
          </w:p>
          <w:p>
            <w:pPr>
              <w:pStyle w:val="Normal"/>
              <w:tabs>
                <w:tab w:val="clear" w:pos="540"/>
                <w:tab w:val="left" w:pos="216" w:leader="none"/>
              </w:tabs>
              <w:rPr>
                <w:caps/>
                <w:sz w:val="16"/>
              </w:rPr>
            </w:pPr>
            <w:r>
              <w:rPr>
                <w:caps/>
                <w:sz w:val="20"/>
              </w:rPr>
              <w:t>EXEMPT</w:t>
              <w:tab/>
            </w:r>
            <w:r>
              <w:rPr>
                <w:caps/>
                <w:sz w:val="20"/>
              </w:rPr>
              <w:fldChar w:fldCharType="begin"/>
            </w:r>
            <w:r>
              <w:rPr>
                <w:caps/>
                <w:sz w:val="20"/>
              </w:rPr>
              <w:instrText xml:space="preserve"> FILLIN "Enter Exempt or Non-Exempt"</w:instrText>
            </w:r>
            <w:r>
              <w:rPr>
                <w:caps/>
                <w:sz w:val="20"/>
              </w:rPr>
              <w:fldChar w:fldCharType="separate"/>
            </w:r>
            <w:r>
              <w:rPr>
                <w:caps/>
                <w:sz w:val="20"/>
              </w:rPr>
            </w:r>
            <w:r>
              <w:rPr>
                <w:caps/>
                <w:sz w:val="20"/>
              </w:rPr>
              <w:fldChar w:fldCharType="end"/>
            </w:r>
          </w:p>
        </w:tc>
        <w:tc>
          <w:tcPr>
            <w:tcW w:w="1512" w:type="dxa"/>
            <w:tcBorders>
              <w:top w:val="single" w:sz="6" w:space="0" w:color="000000"/>
            </w:tcBorders>
          </w:tcPr>
          <w:p>
            <w:pPr>
              <w:pStyle w:val="Normal"/>
              <w:rPr>
                <w:caps/>
                <w:sz w:val="16"/>
              </w:rPr>
            </w:pPr>
            <w:r>
              <w:rPr>
                <w:caps/>
                <w:sz w:val="16"/>
              </w:rPr>
              <w:t>Grade</w:t>
            </w:r>
          </w:p>
          <w:p>
            <w:pPr>
              <w:pStyle w:val="Normal"/>
              <w:tabs>
                <w:tab w:val="clear" w:pos="540"/>
                <w:tab w:val="left" w:pos="216" w:leader="none"/>
              </w:tabs>
              <w:rPr>
                <w:caps/>
                <w:sz w:val="16"/>
              </w:rPr>
            </w:pPr>
            <w:r>
              <w:rPr>
                <w:caps/>
                <w:sz w:val="20"/>
              </w:rPr>
              <w:tab/>
            </w:r>
            <w:r>
              <w:rPr>
                <w:caps/>
                <w:sz w:val="20"/>
              </w:rPr>
              <w:fldChar w:fldCharType="begin"/>
            </w:r>
            <w:r>
              <w:rPr>
                <w:caps/>
                <w:sz w:val="20"/>
              </w:rPr>
              <w:instrText xml:space="preserve"> FILLIN "Enter the Job Grade"</w:instrText>
            </w:r>
            <w:r>
              <w:rPr>
                <w:caps/>
                <w:sz w:val="20"/>
              </w:rPr>
              <w:fldChar w:fldCharType="separate"/>
            </w:r>
            <w:r>
              <w:rPr>
                <w:caps/>
                <w:sz w:val="20"/>
              </w:rPr>
            </w:r>
            <w:r>
              <w:rPr>
                <w:caps/>
                <w:sz w:val="20"/>
              </w:rPr>
              <w:fldChar w:fldCharType="end"/>
            </w:r>
          </w:p>
        </w:tc>
      </w:tr>
      <w:tr>
        <w:trPr/>
        <w:tc>
          <w:tcPr>
            <w:tcW w:w="4090" w:type="dxa"/>
            <w:gridSpan w:val="4"/>
            <w:tcBorders>
              <w:top w:val="single" w:sz="6" w:space="0" w:color="000000"/>
              <w:end w:val="single" w:sz="6" w:space="0" w:color="000000"/>
            </w:tcBorders>
          </w:tcPr>
          <w:p>
            <w:pPr>
              <w:pStyle w:val="Normal"/>
              <w:rPr>
                <w:caps/>
                <w:sz w:val="16"/>
              </w:rPr>
            </w:pPr>
            <w:r>
              <w:rPr>
                <w:caps/>
                <w:sz w:val="16"/>
              </w:rPr>
              <w:t>Company</w:t>
            </w:r>
          </w:p>
        </w:tc>
        <w:tc>
          <w:tcPr>
            <w:tcW w:w="6192" w:type="dxa"/>
            <w:gridSpan w:val="3"/>
            <w:tcBorders>
              <w:top w:val="single" w:sz="6" w:space="0" w:color="000000"/>
            </w:tcBorders>
          </w:tcPr>
          <w:p>
            <w:pPr>
              <w:pStyle w:val="Normal"/>
              <w:snapToGrid w:val="false"/>
              <w:rPr>
                <w:caps/>
                <w:sz w:val="16"/>
              </w:rPr>
            </w:pPr>
            <w:r>
              <w:rPr>
                <w:caps/>
                <w:sz w:val="16"/>
              </w:rPr>
              <w:t>Division/Department</w:t>
            </w:r>
          </w:p>
        </w:tc>
      </w:tr>
      <w:tr>
        <w:trPr/>
        <w:tc>
          <w:tcPr>
            <w:tcW w:w="4090" w:type="dxa"/>
            <w:gridSpan w:val="4"/>
            <w:tcBorders>
              <w:end w:val="single" w:sz="6" w:space="0" w:color="000000"/>
            </w:tcBorders>
          </w:tcPr>
          <w:p>
            <w:pPr>
              <w:pStyle w:val="Normal"/>
              <w:tabs>
                <w:tab w:val="clear" w:pos="540"/>
                <w:tab w:val="left" w:pos="216" w:leader="none"/>
              </w:tabs>
              <w:snapToGrid w:val="false"/>
              <w:rPr>
                <w:caps/>
                <w:sz w:val="20"/>
              </w:rPr>
            </w:pPr>
            <w:r>
              <w:rPr>
                <w:caps/>
                <w:sz w:val="20"/>
              </w:rPr>
            </w:r>
          </w:p>
          <w:p>
            <w:pPr>
              <w:pStyle w:val="Normal"/>
              <w:tabs>
                <w:tab w:val="clear" w:pos="540"/>
                <w:tab w:val="left" w:pos="216" w:leader="none"/>
              </w:tabs>
              <w:rPr>
                <w:caps/>
                <w:sz w:val="20"/>
              </w:rPr>
            </w:pPr>
            <w:r>
              <w:rPr>
                <w:caps/>
                <w:sz w:val="20"/>
              </w:rPr>
              <w:tab/>
              <w:t>enron corp</w:t>
            </w:r>
          </w:p>
        </w:tc>
        <w:tc>
          <w:tcPr>
            <w:tcW w:w="6192" w:type="dxa"/>
            <w:gridSpan w:val="3"/>
            <w:tcBorders/>
          </w:tcPr>
          <w:p>
            <w:pPr>
              <w:pStyle w:val="Normal"/>
              <w:snapToGrid w:val="false"/>
              <w:rPr>
                <w:caps/>
                <w:sz w:val="20"/>
              </w:rPr>
            </w:pPr>
            <w:r>
              <w:rPr>
                <w:caps/>
                <w:sz w:val="20"/>
              </w:rPr>
            </w:r>
          </w:p>
          <w:p>
            <w:pPr>
              <w:pStyle w:val="FootnoteText"/>
              <w:tabs>
                <w:tab w:val="clear" w:pos="540"/>
                <w:tab w:val="left" w:pos="216" w:leader="none"/>
              </w:tabs>
              <w:rPr>
                <w:sz w:val="20"/>
              </w:rPr>
            </w:pPr>
            <w:r>
              <w:rPr>
                <w:sz w:val="20"/>
              </w:rPr>
              <w:t>PUBLIC AFFAIRS AND ADMINISTRATION</w:t>
            </w:r>
          </w:p>
        </w:tc>
      </w:tr>
      <w:tr>
        <w:trPr/>
        <w:tc>
          <w:tcPr>
            <w:tcW w:w="2880" w:type="dxa"/>
            <w:gridSpan w:val="2"/>
            <w:tcBorders>
              <w:top w:val="single" w:sz="6" w:space="0" w:color="000000"/>
            </w:tcBorders>
          </w:tcPr>
          <w:p>
            <w:pPr>
              <w:pStyle w:val="Normal"/>
              <w:rPr>
                <w:caps/>
                <w:sz w:val="16"/>
              </w:rPr>
            </w:pPr>
            <w:r>
              <w:rPr>
                <w:caps/>
                <w:sz w:val="16"/>
              </w:rPr>
              <w:t>Work Location</w:t>
            </w:r>
          </w:p>
        </w:tc>
        <w:tc>
          <w:tcPr>
            <w:tcW w:w="7402" w:type="dxa"/>
            <w:gridSpan w:val="5"/>
            <w:tcBorders>
              <w:top w:val="single" w:sz="6" w:space="0" w:color="000000"/>
              <w:start w:val="single" w:sz="6" w:space="0" w:color="000000"/>
            </w:tcBorders>
          </w:tcPr>
          <w:p>
            <w:pPr>
              <w:pStyle w:val="Normal"/>
              <w:rPr>
                <w:caps/>
                <w:sz w:val="16"/>
              </w:rPr>
            </w:pPr>
            <w:r>
              <w:rPr>
                <w:caps/>
                <w:sz w:val="16"/>
              </w:rPr>
              <w:t>Hiring Supervisor</w:t>
            </w:r>
          </w:p>
        </w:tc>
      </w:tr>
      <w:tr>
        <w:trPr/>
        <w:tc>
          <w:tcPr>
            <w:tcW w:w="2880" w:type="dxa"/>
            <w:gridSpan w:val="2"/>
            <w:tcBorders>
              <w:bottom w:val="single" w:sz="6" w:space="0" w:color="000000"/>
            </w:tcBorders>
          </w:tcPr>
          <w:p>
            <w:pPr>
              <w:pStyle w:val="Normal"/>
              <w:tabs>
                <w:tab w:val="clear" w:pos="540"/>
                <w:tab w:val="left" w:pos="216" w:leader="none"/>
              </w:tabs>
              <w:rPr>
                <w:caps/>
                <w:sz w:val="20"/>
              </w:rPr>
            </w:pPr>
            <w:r>
              <w:rPr>
                <w:caps/>
                <w:sz w:val="20"/>
              </w:rPr>
              <w:tab/>
            </w:r>
            <w:r>
              <w:rPr>
                <w:caps/>
                <w:sz w:val="20"/>
              </w:rPr>
              <w:fldChar w:fldCharType="begin"/>
            </w:r>
            <w:r>
              <w:rPr>
                <w:caps/>
                <w:sz w:val="20"/>
              </w:rPr>
              <w:instrText xml:space="preserve"> FILLIN "Enter the Work Location"</w:instrText>
            </w:r>
            <w:r>
              <w:rPr>
                <w:caps/>
                <w:sz w:val="20"/>
              </w:rPr>
              <w:fldChar w:fldCharType="separate"/>
            </w:r>
            <w:r>
              <w:rPr>
                <w:caps/>
                <w:sz w:val="20"/>
              </w:rPr>
              <w:t>HOUSTON, TX</w:t>
            </w:r>
            <w:r>
              <w:rPr>
                <w:caps/>
                <w:sz w:val="20"/>
              </w:rPr>
              <w:fldChar w:fldCharType="end"/>
            </w:r>
          </w:p>
        </w:tc>
        <w:tc>
          <w:tcPr>
            <w:tcW w:w="7402" w:type="dxa"/>
            <w:gridSpan w:val="5"/>
            <w:tcBorders>
              <w:bottom w:val="single" w:sz="6" w:space="0" w:color="000000"/>
            </w:tcBorders>
          </w:tcPr>
          <w:p>
            <w:pPr>
              <w:pStyle w:val="Normal"/>
              <w:tabs>
                <w:tab w:val="clear" w:pos="540"/>
                <w:tab w:val="left" w:pos="216" w:leader="none"/>
              </w:tabs>
              <w:snapToGrid w:val="false"/>
              <w:rPr>
                <w:sz w:val="20"/>
              </w:rPr>
            </w:pPr>
            <w:r>
              <w:rPr>
                <w:caps/>
                <w:sz w:val="20"/>
              </w:rPr>
              <w:t>JOseph hillings/richard shapiro/STEVE KEAN</w:t>
            </w:r>
          </w:p>
        </w:tc>
      </w:tr>
      <w:tr>
        <w:trPr>
          <w:trHeight w:val="3400" w:hRule="atLeast"/>
        </w:trPr>
        <w:tc>
          <w:tcPr>
            <w:tcW w:w="10282" w:type="dxa"/>
            <w:gridSpan w:val="7"/>
            <w:tcBorders>
              <w:bottom w:val="single" w:sz="6" w:space="0" w:color="000000"/>
            </w:tcBorders>
          </w:tcPr>
          <w:p>
            <w:pPr>
              <w:pStyle w:val="Heading"/>
              <w:snapToGrid w:val="false"/>
              <w:rPr>
                <w:sz w:val="24"/>
              </w:rPr>
            </w:pPr>
            <w:r>
              <w:rPr>
                <w:sz w:val="24"/>
              </w:rPr>
            </w:r>
          </w:p>
          <w:p>
            <w:pPr>
              <w:pStyle w:val="Heading"/>
              <w:rPr>
                <w:sz w:val="24"/>
              </w:rPr>
            </w:pPr>
            <w:r>
              <w:rPr>
                <w:sz w:val="24"/>
              </w:rPr>
              <w:t>Essential Functions:</w:t>
            </w:r>
          </w:p>
          <w:p>
            <w:pPr>
              <w:pStyle w:val="Heading"/>
              <w:rPr>
                <w:sz w:val="24"/>
              </w:rPr>
            </w:pPr>
            <w:r>
              <w:rPr>
                <w:sz w:val="24"/>
              </w:rPr>
            </w:r>
          </w:p>
          <w:p>
            <w:pPr>
              <w:pStyle w:val="Heading"/>
              <w:numPr>
                <w:ilvl w:val="0"/>
                <w:numId w:val="3"/>
              </w:numPr>
              <w:rPr>
                <w:b w:val="false"/>
                <w:sz w:val="24"/>
              </w:rPr>
            </w:pPr>
            <w:r>
              <w:rPr>
                <w:b w:val="false"/>
                <w:sz w:val="24"/>
              </w:rPr>
              <w:t>Effectively demonstrate knowledge relative to substantive policy issues associated with the energy services industries, and the business issues affecting Enron’s operating companies.</w:t>
            </w:r>
          </w:p>
          <w:p>
            <w:pPr>
              <w:pStyle w:val="Heading"/>
              <w:numPr>
                <w:ilvl w:val="0"/>
                <w:numId w:val="3"/>
              </w:numPr>
              <w:rPr>
                <w:b w:val="false"/>
                <w:sz w:val="24"/>
              </w:rPr>
            </w:pPr>
            <w:r>
              <w:rPr>
                <w:b w:val="false"/>
                <w:sz w:val="24"/>
              </w:rPr>
              <w:t>Develop and implement an aggressive strategic plan for successfully achieving specific results in Washington which are favorable to the interests of Enron and its shareholders.</w:t>
            </w:r>
          </w:p>
          <w:p>
            <w:pPr>
              <w:pStyle w:val="Heading"/>
              <w:numPr>
                <w:ilvl w:val="0"/>
                <w:numId w:val="3"/>
              </w:numPr>
              <w:rPr>
                <w:b w:val="false"/>
                <w:sz w:val="24"/>
              </w:rPr>
            </w:pPr>
            <w:r>
              <w:rPr>
                <w:b w:val="false"/>
                <w:sz w:val="24"/>
              </w:rPr>
              <w:t>Formulate and implement a successful Federal Affairs program for the company which includes ___________, ________________, and __________________.</w:t>
            </w:r>
          </w:p>
          <w:p>
            <w:pPr>
              <w:pStyle w:val="Heading"/>
              <w:numPr>
                <w:ilvl w:val="0"/>
                <w:numId w:val="3"/>
              </w:numPr>
              <w:rPr>
                <w:b w:val="false"/>
                <w:sz w:val="24"/>
              </w:rPr>
            </w:pPr>
            <w:r>
              <w:rPr>
                <w:b w:val="false"/>
                <w:sz w:val="24"/>
              </w:rPr>
              <w:t>Work effectively with the commercial counterparts in the appropriate operating companies.</w:t>
            </w:r>
          </w:p>
          <w:p>
            <w:pPr>
              <w:pStyle w:val="Heading"/>
              <w:numPr>
                <w:ilvl w:val="0"/>
                <w:numId w:val="3"/>
              </w:numPr>
              <w:rPr>
                <w:b w:val="false"/>
                <w:sz w:val="24"/>
              </w:rPr>
            </w:pPr>
            <w:r>
              <w:rPr>
                <w:b w:val="false"/>
                <w:sz w:val="24"/>
              </w:rPr>
              <w:t>Be a proactive strategic agent on behalf of Enron’s interest, help set the agenda, form the agenda and shape future events.</w:t>
            </w:r>
          </w:p>
          <w:p>
            <w:pPr>
              <w:pStyle w:val="Heading"/>
              <w:numPr>
                <w:ilvl w:val="0"/>
                <w:numId w:val="3"/>
              </w:numPr>
              <w:rPr>
                <w:b w:val="false"/>
                <w:sz w:val="24"/>
              </w:rPr>
            </w:pPr>
            <w:r>
              <w:rPr>
                <w:b w:val="false"/>
                <w:sz w:val="24"/>
              </w:rPr>
              <w:t>Establish and maintain a political contact network and direct a corporate contact and strategic communication program with Congressmen and women and congressional staffers.</w:t>
            </w:r>
          </w:p>
          <w:p>
            <w:pPr>
              <w:pStyle w:val="Heading"/>
              <w:numPr>
                <w:ilvl w:val="0"/>
                <w:numId w:val="3"/>
              </w:numPr>
              <w:rPr>
                <w:b w:val="false"/>
                <w:sz w:val="24"/>
              </w:rPr>
            </w:pPr>
            <w:r>
              <w:rPr>
                <w:b w:val="false"/>
                <w:sz w:val="24"/>
              </w:rPr>
              <w:t>Conduct face-to-face meetings with the political and bureaucratic leadership in Washington.   Advise them directly on specific legislative proposals and decisions affecting the corporation.</w:t>
            </w:r>
          </w:p>
          <w:p>
            <w:pPr>
              <w:pStyle w:val="Heading"/>
              <w:numPr>
                <w:ilvl w:val="0"/>
                <w:numId w:val="3"/>
              </w:numPr>
              <w:rPr>
                <w:b w:val="false"/>
                <w:sz w:val="24"/>
              </w:rPr>
            </w:pPr>
            <w:r>
              <w:rPr>
                <w:b w:val="false"/>
                <w:sz w:val="24"/>
              </w:rPr>
              <w:t>Advise commercial counterparts on all energy matters relating to federal legislation and public policy issues of interest and concern to the corporation with members of the U.S. Cabinet, U.S. Congress and associations involved in such matters at the political level.</w:t>
            </w:r>
          </w:p>
          <w:p>
            <w:pPr>
              <w:pStyle w:val="Heading"/>
              <w:numPr>
                <w:ilvl w:val="0"/>
                <w:numId w:val="3"/>
              </w:numPr>
              <w:rPr>
                <w:b w:val="false"/>
                <w:sz w:val="24"/>
              </w:rPr>
            </w:pPr>
            <w:r>
              <w:rPr>
                <w:b w:val="false"/>
                <w:sz w:val="24"/>
              </w:rPr>
              <w:t>Participate in various trade association activities.</w:t>
            </w:r>
          </w:p>
          <w:p>
            <w:pPr>
              <w:pStyle w:val="Heading"/>
              <w:numPr>
                <w:ilvl w:val="0"/>
                <w:numId w:val="3"/>
              </w:numPr>
              <w:rPr>
                <w:b w:val="false"/>
                <w:sz w:val="24"/>
              </w:rPr>
            </w:pPr>
            <w:r>
              <w:rPr>
                <w:b w:val="false"/>
                <w:sz w:val="24"/>
              </w:rPr>
              <w:t>Advise Enron executives on the impact of public policy, procedures, issues and matters under negotiation; take a leading or advisory role in negotiations with the federal government.</w:t>
            </w:r>
          </w:p>
          <w:p>
            <w:pPr>
              <w:pStyle w:val="Heading"/>
              <w:numPr>
                <w:ilvl w:val="0"/>
                <w:numId w:val="3"/>
              </w:numPr>
              <w:rPr>
                <w:b w:val="false"/>
                <w:sz w:val="24"/>
              </w:rPr>
            </w:pPr>
            <w:r>
              <w:rPr>
                <w:b w:val="false"/>
                <w:sz w:val="24"/>
              </w:rPr>
              <w:t>Provide commercial counterparts information, advice and perspective concerning federal government leadership, policies and activities.</w:t>
            </w:r>
          </w:p>
          <w:p>
            <w:pPr>
              <w:pStyle w:val="Heading"/>
              <w:rPr>
                <w:b w:val="false"/>
                <w:sz w:val="24"/>
              </w:rPr>
            </w:pPr>
            <w:r>
              <w:rPr>
                <w:b w:val="false"/>
                <w:sz w:val="24"/>
              </w:rPr>
            </w:r>
          </w:p>
          <w:p>
            <w:pPr>
              <w:pStyle w:val="Heading"/>
              <w:rPr>
                <w:b w:val="false"/>
                <w:sz w:val="20"/>
              </w:rPr>
            </w:pPr>
            <w:r>
              <w:rPr>
                <w:b w:val="false"/>
                <w:sz w:val="20"/>
              </w:rPr>
            </w:r>
            <w:bookmarkStart w:id="1" w:name="JobDuties"/>
            <w:bookmarkStart w:id="2" w:name="JobDuties"/>
            <w:bookmarkEnd w:id="2"/>
          </w:p>
        </w:tc>
      </w:tr>
      <w:tr>
        <w:trPr>
          <w:trHeight w:val="2000" w:hRule="atLeast"/>
        </w:trPr>
        <w:tc>
          <w:tcPr>
            <w:tcW w:w="10282" w:type="dxa"/>
            <w:gridSpan w:val="7"/>
            <w:tcBorders/>
          </w:tcPr>
          <w:p>
            <w:pPr>
              <w:pStyle w:val="Heading"/>
              <w:rPr>
                <w:sz w:val="24"/>
              </w:rPr>
            </w:pPr>
            <w:r>
              <w:rPr>
                <w:sz w:val="24"/>
              </w:rPr>
              <w:t>Job Requirements:</w:t>
            </w:r>
          </w:p>
          <w:p>
            <w:pPr>
              <w:pStyle w:val="Heading"/>
              <w:numPr>
                <w:ilvl w:val="0"/>
                <w:numId w:val="4"/>
              </w:numPr>
              <w:rPr>
                <w:sz w:val="24"/>
              </w:rPr>
            </w:pPr>
            <w:r>
              <w:rPr>
                <w:b w:val="false"/>
                <w:sz w:val="24"/>
              </w:rPr>
              <w:t>Successful candidate will have 10-15 years experience in business, as a congressional staffer or as a senior public servant in a relevant government department or agency.</w:t>
            </w:r>
          </w:p>
          <w:p>
            <w:pPr>
              <w:pStyle w:val="Heading"/>
              <w:numPr>
                <w:ilvl w:val="0"/>
                <w:numId w:val="4"/>
              </w:numPr>
              <w:rPr>
                <w:sz w:val="24"/>
              </w:rPr>
            </w:pPr>
            <w:r>
              <w:rPr>
                <w:b w:val="false"/>
                <w:sz w:val="24"/>
              </w:rPr>
              <w:t>Previous experience as a government relations executive would be an asset, as would extensive experience in a regulated industry.</w:t>
            </w:r>
          </w:p>
          <w:p>
            <w:pPr>
              <w:pStyle w:val="Heading"/>
              <w:numPr>
                <w:ilvl w:val="0"/>
                <w:numId w:val="3"/>
              </w:numPr>
              <w:rPr>
                <w:b w:val="false"/>
                <w:sz w:val="24"/>
              </w:rPr>
            </w:pPr>
            <w:r>
              <w:rPr>
                <w:b w:val="false"/>
                <w:sz w:val="24"/>
              </w:rPr>
              <w:t>Ability to quickly grasp and address energy issues facing Enron.</w:t>
            </w:r>
          </w:p>
          <w:p>
            <w:pPr>
              <w:pStyle w:val="Heading"/>
              <w:numPr>
                <w:ilvl w:val="0"/>
                <w:numId w:val="4"/>
              </w:numPr>
              <w:rPr>
                <w:sz w:val="24"/>
              </w:rPr>
            </w:pPr>
            <w:r>
              <w:rPr>
                <w:b w:val="false"/>
                <w:sz w:val="24"/>
              </w:rPr>
              <w:t>Previous experience should also include a thorough understanding of U.S. Congressional and Cabinet policy-making processes, including an undestanding of the roles and decision points in the Executive agencies, The White House, the Senate and the House, as well as the role of think tanks and associations.</w:t>
            </w:r>
          </w:p>
          <w:p>
            <w:pPr>
              <w:pStyle w:val="FootnoteText"/>
              <w:rPr>
                <w:sz w:val="24"/>
              </w:rPr>
            </w:pPr>
            <w:r>
              <w:rPr>
                <w:sz w:val="24"/>
              </w:rPr>
            </w:r>
          </w:p>
          <w:p>
            <w:pPr>
              <w:pStyle w:val="FootnoteText"/>
              <w:rPr/>
            </w:pPr>
            <w:r>
              <w:rPr/>
            </w:r>
          </w:p>
          <w:p>
            <w:pPr>
              <w:pStyle w:val="FootnoteText"/>
              <w:rPr/>
            </w:pPr>
            <w:r>
              <w:rPr>
                <w:rFonts w:cs="Univers (W1);Arial" w:ascii="Univers (W1);Arial" w:hAnsi="Univers (W1);Arial"/>
                <w:b/>
                <w:sz w:val="24"/>
              </w:rPr>
              <w:t>Other Job Functions</w:t>
            </w:r>
            <w:r>
              <w:rPr>
                <w:sz w:val="24"/>
              </w:rPr>
              <w:t>:</w:t>
            </w:r>
          </w:p>
          <w:p>
            <w:pPr>
              <w:pStyle w:val="Heading"/>
              <w:numPr>
                <w:ilvl w:val="0"/>
                <w:numId w:val="3"/>
              </w:numPr>
              <w:rPr>
                <w:b w:val="false"/>
                <w:i/>
                <w:i/>
                <w:color w:val="FF0000"/>
                <w:sz w:val="24"/>
              </w:rPr>
            </w:pPr>
            <w:r>
              <w:rPr>
                <w:b w:val="false"/>
                <w:i/>
                <w:color w:val="FF0000"/>
                <w:sz w:val="24"/>
              </w:rPr>
              <w:t>(Should include any miscellaneous job duties (special projects, “one-time” efforts necessary between now and October 15, etc.) that need to be completed by Cynthia.  If no specifics, consider including an item such as, “All other duties as requested by management that are associated with the energy services industries and the business issues affecting Enron’s operating companies”).</w:t>
            </w:r>
          </w:p>
          <w:p>
            <w:pPr>
              <w:pStyle w:val="FootnoteText"/>
              <w:numPr>
                <w:ilvl w:val="0"/>
                <w:numId w:val="2"/>
              </w:numPr>
              <w:rPr>
                <w:sz w:val="24"/>
              </w:rPr>
            </w:pPr>
            <w:r>
              <w:rPr>
                <w:rFonts w:eastAsia="CG Times (W1);Times New Roman"/>
                <w:sz w:val="24"/>
              </w:rPr>
              <w:t xml:space="preserve"> </w:t>
            </w:r>
          </w:p>
          <w:p>
            <w:pPr>
              <w:pStyle w:val="FootnoteText"/>
              <w:rPr>
                <w:sz w:val="24"/>
              </w:rPr>
            </w:pPr>
            <w:r>
              <w:rPr>
                <w:sz w:val="24"/>
              </w:rPr>
            </w:r>
          </w:p>
          <w:p>
            <w:pPr>
              <w:pStyle w:val="FootnoteText"/>
              <w:rPr>
                <w:sz w:val="24"/>
              </w:rPr>
            </w:pPr>
            <w:r>
              <w:rPr>
                <w:sz w:val="24"/>
              </w:rPr>
            </w:r>
          </w:p>
          <w:p>
            <w:pPr>
              <w:pStyle w:val="FootnoteText"/>
              <w:rPr/>
            </w:pPr>
            <w:r>
              <w:rPr>
                <w:rFonts w:cs="Univers (W1);Arial" w:ascii="Univers (W1);Arial" w:hAnsi="Univers (W1);Arial"/>
                <w:b/>
                <w:sz w:val="24"/>
              </w:rPr>
              <w:t>Special Job Characteristics</w:t>
            </w:r>
            <w:r>
              <w:rPr>
                <w:b/>
                <w:sz w:val="24"/>
              </w:rPr>
              <w:t>:</w:t>
            </w:r>
          </w:p>
          <w:p>
            <w:pPr>
              <w:pStyle w:val="FootnoteText"/>
              <w:numPr>
                <w:ilvl w:val="0"/>
                <w:numId w:val="6"/>
              </w:numPr>
              <w:rPr>
                <w:b/>
                <w:sz w:val="24"/>
              </w:rPr>
            </w:pPr>
            <w:r>
              <w:rPr>
                <w:b/>
                <w:sz w:val="24"/>
              </w:rPr>
            </w:r>
          </w:p>
          <w:p>
            <w:pPr>
              <w:pStyle w:val="FootnoteText"/>
              <w:rPr>
                <w:b/>
                <w:sz w:val="24"/>
              </w:rPr>
            </w:pPr>
            <w:r>
              <w:rPr>
                <w:b/>
                <w:sz w:val="24"/>
              </w:rPr>
            </w:r>
          </w:p>
          <w:p>
            <w:pPr>
              <w:pStyle w:val="FootnoteText"/>
              <w:rPr>
                <w:b/>
                <w:sz w:val="24"/>
              </w:rPr>
            </w:pPr>
            <w:r>
              <w:rPr>
                <w:b/>
                <w:sz w:val="24"/>
              </w:rPr>
            </w:r>
          </w:p>
          <w:p>
            <w:pPr>
              <w:pStyle w:val="FootnoteText"/>
              <w:rPr/>
            </w:pPr>
            <w:r>
              <w:rPr>
                <w:rFonts w:cs="Univers (W1);Arial" w:ascii="Univers (W1);Arial" w:hAnsi="Univers (W1);Arial"/>
                <w:b/>
                <w:sz w:val="24"/>
              </w:rPr>
              <w:t>Additonal Factors</w:t>
            </w:r>
            <w:r>
              <w:rPr>
                <w:b/>
                <w:sz w:val="24"/>
              </w:rPr>
              <w:t>:</w:t>
            </w:r>
          </w:p>
        </w:tc>
      </w:tr>
    </w:tbl>
    <w:p>
      <w:pPr>
        <w:pStyle w:val="Normal"/>
        <w:numPr>
          <w:ilvl w:val="0"/>
          <w:numId w:val="5"/>
        </w:numPr>
        <w:tabs>
          <w:tab w:val="clear" w:pos="540"/>
        </w:tabs>
        <w:rPr/>
      </w:pPr>
      <w:r>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1);Times New Roman" w:hAnsi="CG Times (W1);Times New Roman" w:eastAsia="Times New Roman" w:cs="CG Times (W1);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u w:val="single"/>
    </w:rPr>
  </w:style>
  <w:style w:type="paragraph" w:styleId="Heading2">
    <w:name w:val="heading 2"/>
    <w:basedOn w:val="Normal"/>
    <w:next w:val="Normal"/>
    <w:qFormat/>
    <w:pPr>
      <w:numPr>
        <w:ilvl w:val="1"/>
        <w:numId w:val="1"/>
      </w:numPr>
      <w:spacing w:before="120" w:after="0"/>
      <w:outlineLvl w:val="1"/>
    </w:pPr>
    <w:rPr>
      <w:rFonts w:ascii="Univers (W1);Arial" w:hAnsi="Univers (W1);Arial" w:cs="Univers (W1);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tabs>
        <w:tab w:val="clear" w:pos="540"/>
      </w:tabs>
    </w:pPr>
    <w:rPr>
      <w:rFonts w:ascii="Univers (W1);Arial" w:hAnsi="Univers (W1);Arial" w:cs="Univers (W1);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Jobpost.dot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2000-07-10T18:38:00Z</dcterms:created>
  <dc:creator>Gwen L. Petteway</dc:creator>
  <dc:description/>
  <dc:language>en-CA</dc:language>
  <cp:lastModifiedBy>Gwen Petteway</cp:lastModifiedBy>
  <cp:lastPrinted>2000-07-10T16:07:00Z</cp:lastPrinted>
  <dcterms:modified xsi:type="dcterms:W3CDTF">2000-07-10T19:16:00Z</dcterms:modified>
  <cp:revision>30</cp:revision>
  <dc:subject/>
  <dc:title> 	</dc:title>
</cp:coreProperties>
</file>