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t>JIMMY K. LIEW, Ph.D.</w:t>
      </w:r>
    </w:p>
    <w:p>
      <w:pPr>
        <w:pStyle w:val="Normal"/>
        <w:jc w:val="center"/>
        <w:rPr>
          <w:b w:val="false"/>
          <w:sz w:val="20"/>
        </w:rPr>
      </w:pPr>
      <w:r>
        <w:rPr>
          <w:b w:val="false"/>
          <w:sz w:val="20"/>
        </w:rPr>
        <w:t>450 North End Avenue, Apt. 12K, New York, NY 10282</w:t>
      </w:r>
    </w:p>
    <w:p>
      <w:pPr>
        <w:pStyle w:val="Normal"/>
        <w:jc w:val="center"/>
        <w:rPr>
          <w:b w:val="false"/>
          <w:sz w:val="20"/>
        </w:rPr>
      </w:pPr>
      <w:r>
        <w:rPr>
          <w:b w:val="false"/>
          <w:sz w:val="20"/>
        </w:rPr>
        <w:t>Tel: 212-217-2052, E-mail: jimmyliew100@hotmail.com</w:t>
      </w:r>
    </w:p>
    <w:p>
      <w:pPr>
        <w:pStyle w:val="Normal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Heading2"/>
        <w:ind w:hanging="0" w:start="0"/>
        <w:jc w:val="start"/>
        <w:rPr>
          <w:u w:val="single"/>
        </w:rPr>
      </w:pPr>
      <w:r>
        <w:rPr>
          <w:u w:val="single"/>
        </w:rPr>
        <w:t>EMPLOYMENT</w:t>
      </w:r>
    </w:p>
    <w:p>
      <w:pPr>
        <w:pStyle w:val="Normal"/>
        <w:rPr>
          <w:bCs/>
          <w:sz w:val="12"/>
          <w:u w:val="single"/>
        </w:rPr>
      </w:pPr>
      <w:r>
        <w:rPr>
          <w:bCs/>
          <w:sz w:val="12"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58"/>
        <w:gridCol w:w="239"/>
        <w:gridCol w:w="7179"/>
      </w:tblGrid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mConverge.com Ltd.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Director of Finance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Hong Kong, March 2000 to May 2001</w:t>
            </w:r>
          </w:p>
          <w:p>
            <w:pPr>
              <w:pStyle w:val="BodyText"/>
              <w:rPr/>
            </w:pPr>
            <w:r>
              <w:rPr/>
              <w:t>Founded a wireless Internet company focused on applications for businesses.  Successfully created and sold WAP Personalization tool to Hutchison Telecom in Hong Kong, commercially available through Orangeworld. Designed mPORT a wireless portfolio trading and reporting application designed for the PDA.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Morgan Stanley</w:t>
            </w:r>
          </w:p>
          <w:p>
            <w:pPr>
              <w:pStyle w:val="Heading3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Quantitative Strategist</w:t>
            </w:r>
          </w:p>
          <w:p>
            <w:pPr>
              <w:pStyle w:val="Normal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Normal"/>
              <w:rPr>
                <w:b w:val="false"/>
                <w:i/>
                <w:i/>
                <w:iCs/>
                <w:sz w:val="20"/>
              </w:rPr>
            </w:pPr>
            <w:r>
              <w:rPr>
                <w:b w:val="false"/>
                <w:i/>
                <w:iCs/>
                <w:sz w:val="20"/>
              </w:rPr>
              <w:t xml:space="preserve">Hong Kong, July 1999 to February 2000 </w:t>
            </w:r>
          </w:p>
          <w:p>
            <w:pPr>
              <w:pStyle w:val="BodyText"/>
              <w:rPr/>
            </w:pPr>
            <w:r>
              <w:rPr/>
              <w:t>Solely responsible for providing quantitative support for equity derivative traders and clients. Constructed and re-balanced clients’ global portfolios optimized to track MSCI indices using Basket Link. Educated and trained clients on creating and interpreting portfolio analytic reports: Attribution, Tracking Error, Exposures, etc. Created optimal hedging strategies using Monte Carlo simulations, constructed dynamic portfolio “alpha” strategies, built industry/sector neutral optimal tracking portfolios for index arbitrage strategies, and worked on transaction cost models for program traders.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Morgan Stanley</w:t>
            </w:r>
          </w:p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Equity Derivatives Research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Normal"/>
              <w:rPr>
                <w:b w:val="false"/>
                <w:i/>
                <w:i/>
                <w:iCs/>
                <w:sz w:val="20"/>
              </w:rPr>
            </w:pPr>
            <w:r>
              <w:rPr>
                <w:b w:val="false"/>
                <w:i/>
                <w:iCs/>
                <w:sz w:val="20"/>
              </w:rPr>
              <w:t>New York, September 1998 to June 1999</w:t>
            </w:r>
          </w:p>
          <w:p>
            <w:pPr>
              <w:pStyle w:val="BodyText"/>
              <w:rPr/>
            </w:pPr>
            <w:r>
              <w:rPr/>
              <w:t>Responsible for quantitative modeling and research. Examined macro and inter/intra-industry fundamental factors in US equity markets. Wrote articles in the monthly QS derivative publications.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Baruch College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Adjunct Professor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Heading4"/>
              <w:ind w:hanging="0" w:start="0"/>
              <w:rPr>
                <w:b/>
              </w:rPr>
            </w:pPr>
            <w:r>
              <w:rPr/>
              <w:t>New York, Spring 1998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Taught International Economics</w:t>
            </w:r>
          </w:p>
        </w:tc>
      </w:tr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Goldman Sachs &amp; Co.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20"/>
              </w:rPr>
              <w:t>Instructor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Heading4"/>
              <w:ind w:hanging="0" w:start="0"/>
              <w:rPr>
                <w:b/>
              </w:rPr>
            </w:pPr>
            <w:r>
              <w:rPr/>
              <w:t>New York, Summer 1998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Taught bond mathematics and statistics to incoming analysts in the asset management division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2158" w:type="dxa"/>
            <w:tcBorders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Columbia Business School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Teaching Assistant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79" w:type="dxa"/>
            <w:tcBorders/>
          </w:tcPr>
          <w:p>
            <w:pPr>
              <w:pStyle w:val="Heading4"/>
              <w:ind w:hanging="0" w:start="0"/>
              <w:rPr>
                <w:b/>
              </w:rPr>
            </w:pPr>
            <w:r>
              <w:rPr/>
              <w:t>New York, 1992-1997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Teaching assistant in Foundations of Finance, Debt Markets, and Futures and Options 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Teaching Assistant of the Year 1996</w:t>
            </w:r>
          </w:p>
        </w:tc>
      </w:tr>
    </w:tbl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EDUCATION</w:t>
      </w:r>
    </w:p>
    <w:p>
      <w:pPr>
        <w:pStyle w:val="Normal"/>
        <w:rPr>
          <w:sz w:val="12"/>
          <w:u w:val="single"/>
        </w:rPr>
      </w:pPr>
      <w:r>
        <w:rPr>
          <w:sz w:val="12"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57"/>
        <w:gridCol w:w="239"/>
        <w:gridCol w:w="7180"/>
      </w:tblGrid>
      <w:tr>
        <w:trPr/>
        <w:tc>
          <w:tcPr>
            <w:tcW w:w="2157" w:type="dxa"/>
            <w:tcBorders/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Columbia Business School</w:t>
            </w:r>
          </w:p>
          <w:p>
            <w:pPr>
              <w:pStyle w:val="Normal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  <w:p>
            <w:pPr>
              <w:pStyle w:val="Normal"/>
              <w:rPr>
                <w:b w:val="false"/>
                <w:bCs/>
                <w:sz w:val="12"/>
              </w:rPr>
            </w:pPr>
            <w:r>
              <w:rPr>
                <w:b w:val="false"/>
                <w:bCs/>
                <w:sz w:val="1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80" w:type="dxa"/>
            <w:tcBorders/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Ph.D. (1999) and M.Phil. (1998) in Finance and Economics</w:t>
            </w:r>
          </w:p>
          <w:p>
            <w:pPr>
              <w:pStyle w:val="Normal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Advisors: Franklin Edwards and Maria Vassalou</w:t>
            </w:r>
          </w:p>
          <w:p>
            <w:pPr>
              <w:pStyle w:val="Normal"/>
              <w:rPr>
                <w:b w:val="false"/>
                <w:sz w:val="12"/>
              </w:rPr>
            </w:pPr>
            <w:r>
              <w:rPr>
                <w:b w:val="false"/>
                <w:sz w:val="20"/>
              </w:rPr>
              <w:t>Columbia Graduate School of Business Doctoral Fellowship</w:t>
              <w:br/>
            </w:r>
          </w:p>
        </w:tc>
      </w:tr>
      <w:tr>
        <w:trPr/>
        <w:tc>
          <w:tcPr>
            <w:tcW w:w="2157" w:type="dxa"/>
            <w:tcBorders/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University of Chicago</w:t>
            </w:r>
          </w:p>
          <w:p>
            <w:pPr>
              <w:pStyle w:val="Normal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7180" w:type="dxa"/>
            <w:tcBorders/>
          </w:tcPr>
          <w:p>
            <w:pPr>
              <w:pStyle w:val="Heading1"/>
              <w:ind w:hanging="0" w:start="0"/>
              <w:rPr>
                <w:bCs/>
              </w:rPr>
            </w:pPr>
            <w:r>
              <w:rPr>
                <w:bCs/>
              </w:rPr>
              <w:t>B.A. (1991) in Mathematics</w:t>
            </w:r>
          </w:p>
          <w:p>
            <w:pPr>
              <w:pStyle w:val="Normal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  <w:t>General Honors, Member of Sigma Xi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PUBLISHED PAPERS</w:t>
      </w:r>
    </w:p>
    <w:p>
      <w:pPr>
        <w:pStyle w:val="Normal"/>
        <w:rPr>
          <w:b w:val="false"/>
          <w:i/>
          <w:i/>
          <w:sz w:val="12"/>
          <w:u w:val="single"/>
        </w:rPr>
      </w:pPr>
      <w:r>
        <w:rPr>
          <w:b w:val="false"/>
          <w:i/>
          <w:sz w:val="12"/>
          <w:u w:val="single"/>
        </w:rPr>
      </w:r>
    </w:p>
    <w:p>
      <w:pPr>
        <w:pStyle w:val="Normal"/>
        <w:rPr/>
      </w:pPr>
      <w:r>
        <w:rPr>
          <w:b w:val="false"/>
          <w:i/>
          <w:sz w:val="20"/>
        </w:rPr>
        <w:t>“</w:t>
      </w:r>
      <w:r>
        <w:rPr>
          <w:b w:val="false"/>
          <w:i/>
          <w:sz w:val="20"/>
        </w:rPr>
        <w:t xml:space="preserve">Can Book-to-Market, Size and Momentum Be Risk Factors That Predict Economic Growth?,”  </w:t>
      </w:r>
      <w:r>
        <w:rPr>
          <w:b w:val="false"/>
          <w:sz w:val="20"/>
        </w:rPr>
        <w:t>co-authored with Maria Vassalou, Journal of Financial Economics, Volume 57, Issue 2, August 2000, pp. 221-245.</w:t>
      </w:r>
    </w:p>
    <w:p>
      <w:pPr>
        <w:pStyle w:val="Normal"/>
        <w:rPr>
          <w:b w:val="false"/>
          <w:sz w:val="4"/>
        </w:rPr>
      </w:pPr>
      <w:r>
        <w:rPr>
          <w:b w:val="false"/>
          <w:sz w:val="4"/>
        </w:rPr>
      </w:r>
    </w:p>
    <w:p>
      <w:pPr>
        <w:pStyle w:val="Normal"/>
        <w:rPr/>
      </w:pPr>
      <w:r>
        <w:rPr>
          <w:b w:val="false"/>
          <w:i/>
          <w:sz w:val="20"/>
        </w:rPr>
        <w:t>“</w:t>
      </w:r>
      <w:r>
        <w:rPr>
          <w:b w:val="false"/>
          <w:i/>
          <w:sz w:val="20"/>
        </w:rPr>
        <w:t>Hedge Funds versus Managed Futures as Asset Classes</w:t>
      </w:r>
      <w:r>
        <w:rPr>
          <w:b w:val="false"/>
          <w:sz w:val="20"/>
        </w:rPr>
        <w:t>,” co-authored with Franklin Edwards, Journal of Derivatives, Summer 1999, pp. 45-64.</w:t>
      </w:r>
    </w:p>
    <w:p>
      <w:pPr>
        <w:pStyle w:val="Normal"/>
        <w:rPr>
          <w:b w:val="false"/>
          <w:sz w:val="4"/>
        </w:rPr>
      </w:pPr>
      <w:r>
        <w:rPr>
          <w:b w:val="false"/>
          <w:sz w:val="4"/>
        </w:rPr>
      </w:r>
    </w:p>
    <w:p>
      <w:pPr>
        <w:pStyle w:val="Normal"/>
        <w:rPr/>
      </w:pPr>
      <w:r>
        <w:rPr>
          <w:b w:val="false"/>
          <w:i/>
          <w:sz w:val="20"/>
        </w:rPr>
        <w:t>“</w:t>
      </w:r>
      <w:r>
        <w:rPr>
          <w:b w:val="false"/>
          <w:i/>
          <w:sz w:val="20"/>
        </w:rPr>
        <w:t>Managed Commodity Funds,”</w:t>
      </w:r>
      <w:r>
        <w:rPr>
          <w:b w:val="false"/>
          <w:sz w:val="20"/>
        </w:rPr>
        <w:t xml:space="preserve"> co-authored with Franklin Edwards, Journal of Futures, Volume 19, No. 4, 1999, pp. 377-411. </w:t>
      </w:r>
    </w:p>
    <w:p>
      <w:pPr>
        <w:pStyle w:val="Normal"/>
        <w:jc w:val="center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ADDITIONAL INFORMATION</w:t>
      </w:r>
    </w:p>
    <w:p>
      <w:pPr>
        <w:pStyle w:val="Normal"/>
        <w:rPr>
          <w:b w:val="false"/>
          <w:sz w:val="12"/>
          <w:u w:val="single"/>
        </w:rPr>
      </w:pPr>
      <w:r>
        <w:rPr>
          <w:b w:val="false"/>
          <w:sz w:val="12"/>
          <w:u w:val="single"/>
        </w:rPr>
      </w:r>
    </w:p>
    <w:p>
      <w:pPr>
        <w:pStyle w:val="Normal"/>
        <w:rPr>
          <w:b w:val="false"/>
          <w:sz w:val="20"/>
        </w:rPr>
      </w:pPr>
      <w:r>
        <w:rPr>
          <w:b w:val="false"/>
          <w:sz w:val="20"/>
        </w:rPr>
        <w:t>Senior Class President, Norman High School, Norman, Oklahoma</w:t>
      </w:r>
    </w:p>
    <w:p>
      <w:pPr>
        <w:pStyle w:val="Normal"/>
        <w:rPr>
          <w:b w:val="false"/>
          <w:sz w:val="20"/>
        </w:rPr>
      </w:pPr>
      <w:r>
        <w:rPr>
          <w:b w:val="false"/>
          <w:sz w:val="20"/>
        </w:rPr>
        <w:t>Member Phi Delta Theta fraternity</w:t>
      </w:r>
    </w:p>
    <w:p>
      <w:pPr>
        <w:pStyle w:val="Normal"/>
        <w:rPr>
          <w:b w:val="false"/>
          <w:sz w:val="20"/>
        </w:rPr>
      </w:pPr>
      <w:r>
        <w:rPr>
          <w:b w:val="false"/>
          <w:sz w:val="20"/>
        </w:rPr>
        <w:t>Enjoy video games, movies, and snowboarding</w:t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0" w:end="-38"/>
      <w:outlineLvl w:val="2"/>
    </w:pPr>
    <w:rPr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 w:val="false"/>
      <w:i/>
      <w:iCs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8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/>
    <w:rPr>
      <w:b w:val="false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b w:val="false"/>
      <w:sz w:val="20"/>
    </w:rPr>
  </w:style>
  <w:style w:type="paragraph" w:styleId="BodyTextIndent2">
    <w:name w:val="Body Text Indent 2"/>
    <w:basedOn w:val="Normal"/>
    <w:qFormat/>
    <w:pPr>
      <w:ind w:hanging="0" w:start="720" w:end="0"/>
    </w:pPr>
    <w:rPr>
      <w:b w:val="false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2001-05-27T02:28:00Z</dcterms:created>
  <dc:creator>Preferred Customer</dc:creator>
  <dc:description/>
  <dc:language>en-CA</dc:language>
  <cp:lastModifiedBy>Preferred Customer</cp:lastModifiedBy>
  <cp:lastPrinted>2001-05-26T23:49:00Z</cp:lastPrinted>
  <dcterms:modified xsi:type="dcterms:W3CDTF">2001-05-28T15:37:00Z</dcterms:modified>
  <cp:revision>3</cp:revision>
  <dc:subject/>
  <dc:title>Francesco Mainolfi</dc:title>
</cp:coreProperties>
</file>