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iCs/>
        </w:rPr>
      </w:pPr>
      <w:r>
        <w:rPr>
          <w:b/>
          <w:iCs/>
        </w:rPr>
      </w:r>
    </w:p>
    <w:p>
      <w:pPr>
        <w:pStyle w:val="Normal"/>
        <w:rPr>
          <w:b/>
          <w:iCs/>
        </w:rPr>
      </w:pPr>
      <w:r>
        <w:rPr>
          <w:b/>
          <w:iCs/>
        </w:rPr>
      </w:r>
    </w:p>
    <w:p>
      <w:pPr>
        <w:pStyle w:val="Normal"/>
        <w:rPr>
          <w:b/>
          <w:iCs/>
        </w:rPr>
      </w:pPr>
      <w:r>
        <w:rPr>
          <w:b/>
          <w:iCs/>
        </w:rPr>
      </w:r>
    </w:p>
    <w:p>
      <w:pPr>
        <w:pStyle w:val="Normal"/>
        <w:rPr>
          <w:b/>
          <w:iCs/>
        </w:rPr>
      </w:pPr>
      <w:r>
        <w:rPr>
          <w:b/>
          <w:iCs/>
        </w:rPr>
      </w:r>
    </w:p>
    <w:p>
      <w:pPr>
        <w:pStyle w:val="Normal"/>
        <w:rPr>
          <w:b/>
          <w:iCs/>
        </w:rPr>
      </w:pPr>
      <w:r>
        <w:rPr>
          <w:b/>
          <w:iCs/>
        </w:rPr>
      </w:r>
    </w:p>
    <w:p>
      <w:pPr>
        <w:pStyle w:val="Normal"/>
        <w:rPr>
          <w:b/>
          <w:iCs/>
        </w:rPr>
      </w:pPr>
      <w:r>
        <w:rPr>
          <w:b/>
          <w:iCs/>
        </w:rPr>
      </w:r>
    </w:p>
    <w:p>
      <w:pPr>
        <w:pStyle w:val="Normal"/>
        <w:rPr>
          <w:b/>
          <w:iCs/>
        </w:rPr>
      </w:pPr>
      <w:r>
        <w:rPr>
          <w:b/>
          <w:iCs/>
        </w:rPr>
      </w:r>
    </w:p>
    <w:p>
      <w:pPr>
        <w:pStyle w:val="Normal"/>
        <w:rPr>
          <w:b/>
          <w:iCs/>
        </w:rPr>
      </w:pPr>
      <w:r>
        <w:rPr>
          <w:b/>
          <w:iCs/>
        </w:rPr>
      </w:r>
    </w:p>
    <w:p>
      <w:pPr>
        <w:pStyle w:val="Normal"/>
        <w:rPr>
          <w:b/>
          <w:iCs/>
        </w:rPr>
      </w:pPr>
      <w:r>
        <w:rPr>
          <w:b/>
          <w:iCs/>
        </w:rPr>
      </w:r>
    </w:p>
    <w:p>
      <w:pPr>
        <w:pStyle w:val="Normal"/>
        <w:rPr>
          <w:b/>
          <w:iCs/>
        </w:rPr>
      </w:pPr>
      <w:r>
        <w:rPr>
          <w:b/>
          <w:iCs/>
        </w:rPr>
      </w:r>
    </w:p>
    <w:p>
      <w:pPr>
        <w:pStyle w:val="Normal"/>
        <w:jc w:val="center"/>
        <w:rPr>
          <w:bCs/>
          <w:iCs/>
          <w:sz w:val="22"/>
        </w:rPr>
      </w:pPr>
      <w:r>
        <w:rPr>
          <w:bCs/>
          <w:iCs/>
          <w:sz w:val="22"/>
        </w:rPr>
        <w:t>June 28, 2000</w:t>
      </w:r>
    </w:p>
    <w:p>
      <w:pPr>
        <w:pStyle w:val="Normal"/>
        <w:jc w:val="center"/>
        <w:rPr>
          <w:bCs/>
          <w:iCs/>
          <w:sz w:val="22"/>
        </w:rPr>
      </w:pPr>
      <w:r>
        <w:rPr>
          <w:bCs/>
          <w:iCs/>
          <w:sz w:val="22"/>
        </w:rPr>
      </w:r>
    </w:p>
    <w:p>
      <w:pPr>
        <w:pStyle w:val="Normal"/>
        <w:jc w:val="center"/>
        <w:rPr>
          <w:bCs/>
          <w:iCs/>
          <w:sz w:val="22"/>
        </w:rPr>
      </w:pPr>
      <w:r>
        <w:rPr>
          <w:bCs/>
          <w:iCs/>
          <w:sz w:val="22"/>
        </w:rPr>
      </w:r>
    </w:p>
    <w:p>
      <w:pPr>
        <w:pStyle w:val="Normal"/>
        <w:jc w:val="both"/>
        <w:rPr>
          <w:b/>
          <w:i/>
          <w:i/>
          <w:u w:val="single"/>
        </w:rPr>
      </w:pPr>
      <w:r>
        <w:rPr>
          <w:b/>
          <w:iCs/>
          <w:sz w:val="22"/>
          <w:u w:val="single"/>
        </w:rPr>
        <w:t>Via-Facsimile (</w:t>
      </w:r>
      <w:r>
        <w:rPr>
          <w:b/>
          <w:sz w:val="22"/>
          <w:u w:val="single"/>
        </w:rPr>
        <w:t>852) 2527-9704</w:t>
      </w:r>
    </w:p>
    <w:p>
      <w:pPr>
        <w:pStyle w:val="Normal"/>
        <w:jc w:val="both"/>
        <w:rPr>
          <w:b/>
          <w:i/>
          <w:i/>
          <w:sz w:val="22"/>
          <w:u w:val="single"/>
        </w:rPr>
      </w:pPr>
      <w:r>
        <w:rPr>
          <w:b/>
          <w:i/>
          <w:sz w:val="22"/>
          <w:u w:val="single"/>
        </w:rPr>
      </w:r>
    </w:p>
    <w:p>
      <w:pPr>
        <w:pStyle w:val="Normal"/>
        <w:jc w:val="both"/>
        <w:rPr>
          <w:sz w:val="22"/>
        </w:rPr>
      </w:pPr>
      <w:r>
        <w:rPr>
          <w:sz w:val="22"/>
        </w:rPr>
        <w:t>Mr. Jim Hawes</w:t>
      </w:r>
    </w:p>
    <w:p>
      <w:pPr>
        <w:pStyle w:val="Normal"/>
        <w:jc w:val="both"/>
        <w:rPr>
          <w:sz w:val="22"/>
        </w:rPr>
      </w:pPr>
      <w:r>
        <w:rPr>
          <w:sz w:val="22"/>
        </w:rPr>
        <w:t>Inter-Asia Venture Management (H.K.) Ltd.</w:t>
      </w:r>
    </w:p>
    <w:p>
      <w:pPr>
        <w:pStyle w:val="Normal"/>
        <w:jc w:val="both"/>
        <w:rPr>
          <w:sz w:val="22"/>
        </w:rPr>
      </w:pPr>
      <w:r>
        <w:rPr>
          <w:sz w:val="22"/>
        </w:rPr>
        <w:t>China Hong Kong Tower – 14/FL</w:t>
      </w:r>
    </w:p>
    <w:p>
      <w:pPr>
        <w:pStyle w:val="Normal"/>
        <w:jc w:val="both"/>
        <w:rPr>
          <w:sz w:val="22"/>
        </w:rPr>
      </w:pPr>
      <w:r>
        <w:rPr>
          <w:sz w:val="22"/>
        </w:rPr>
        <w:t>8 Hennessey Road</w:t>
      </w:r>
    </w:p>
    <w:p>
      <w:pPr>
        <w:pStyle w:val="Normal"/>
        <w:jc w:val="both"/>
        <w:rPr>
          <w:sz w:val="22"/>
        </w:rPr>
      </w:pPr>
      <w:r>
        <w:rPr>
          <w:sz w:val="22"/>
        </w:rPr>
        <w:t>Hong Kong, S.A.R., PRC</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Dear Jim:</w:t>
      </w:r>
    </w:p>
    <w:p>
      <w:pPr>
        <w:pStyle w:val="Normal"/>
        <w:jc w:val="both"/>
        <w:rPr>
          <w:sz w:val="22"/>
        </w:rPr>
      </w:pPr>
      <w:r>
        <w:rPr>
          <w:sz w:val="22"/>
        </w:rPr>
      </w:r>
    </w:p>
    <w:p>
      <w:pPr>
        <w:pStyle w:val="BodyText"/>
        <w:rPr/>
      </w:pPr>
      <w:r>
        <w:rPr/>
        <w:t>I have received and reviewed your June 13, 2000 memo to me regarding Ecogas.  Frankly, I was surprised by both the tone of your memo and the inaccurate statement contained in it.  First, there was nothing from which to “absolve,” as you put it, Enron Corp.  As we discussed at our one and only meeting, ECT Merchant Investmenst Inc. (ECTMI) made an investment in Ecogas Corp. (Ecogas) by purchasing stock in Ecogas.  We did not acquire, merge, or otherwise “take the company over” in any manner whatsoever.  As such, ECTMI has no obligation to you or anyone else in matters concerning our investment in Ecogas.  You and your company, like ECTMI, chose to make an investment in a high risk/high reward venture.  The venture has proven to be much more risky than it has been rewarding.  However, the current situation is in no way due to any actions or inaction of ECTMI.  As you stated several times at our meeting, the problems reside with Ecogas Corp.</w:t>
      </w:r>
    </w:p>
    <w:p>
      <w:pPr>
        <w:pStyle w:val="BodyText"/>
        <w:rPr/>
      </w:pPr>
      <w:r>
        <w:rPr/>
      </w:r>
    </w:p>
    <w:p>
      <w:pPr>
        <w:pStyle w:val="BodyText"/>
        <w:rPr/>
      </w:pPr>
      <w:r>
        <w:rPr/>
        <w:t>As I also related to you at our lunch meeting, when I started taking a more proactive role as a member of Ecogas’ Board of Directors, what I found was a company on the verge of bankruptcy due to its state of affairs.  You’ll recall specifically my discussion that day with you regarding the past due accounts payables numbering more than 350 with balances in excess of $7 million.  Since our meeting, I have taken a very direct and proactive approach to resolving as many issues as possible in order to preserve what little hope there was recouping some value for our investment.  Without such, Ecogas would have most likely been forced into bankruptcy by its creditors, contractual counterparties and/or investors within a short period of time.  During our lunch, I very clearly articulated my strategy and plans for trying to salvage the company.  You wholeheartedly agreed with everything I laid out.  In fact, you went into great detail to explain to me your disgust at Ecogas management, because in 1997 you had been called back from Hong Kong in a “crisis situation” only to find Ecogas in a similar situation.  Nothing that has happened with your Ecogas investment should be a surprise to you.</w:t>
      </w:r>
    </w:p>
    <w:p>
      <w:pPr>
        <w:pStyle w:val="BodyText"/>
        <w:rPr/>
      </w:pPr>
      <w:r>
        <w:rPr/>
      </w:r>
    </w:p>
    <w:p>
      <w:pPr>
        <w:pStyle w:val="BodyText"/>
        <w:rPr/>
      </w:pPr>
      <w:r>
        <w:rPr/>
        <w:t>The tone of our letter suggest that you believe that I, as a member of the Board of Directors, have failed to adequately communicate with you.  At no time during our lunch meeting did we ever discuss the need for me to send or submit any “status or progress reports.”  I have trouble understanding why you feel the communication channel was unilateral in nature.  I assume you do have access to telephones.  Additionally, you sublease an office within Ecogas’ headquarters.  Surely, you could have taken some initiative yourself, such as, calling me, any of my full-time staff working as consultants to Ecogas, or Ecogas management.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I am likewise confused when you threaten litigation and say that I “mistook gentlemanly behavior for weakness.”  ECTMI has much more at stake than your company.  Just as you expect to be paid “every cent owing” so does ECTMI.   However, as a Director of Ecogas, I have a hard time understanding how your threats will in any manner prove to be a productive or fruitful exercise to Ecogas and/or any of the various creditors or investors.</w:t>
      </w:r>
    </w:p>
    <w:p>
      <w:pPr>
        <w:pStyle w:val="Normal"/>
        <w:jc w:val="both"/>
        <w:rPr>
          <w:sz w:val="22"/>
        </w:rPr>
      </w:pPr>
      <w:r>
        <w:rPr>
          <w:sz w:val="22"/>
        </w:rPr>
      </w:r>
    </w:p>
    <w:p>
      <w:pPr>
        <w:pStyle w:val="Normal"/>
        <w:jc w:val="both"/>
        <w:rPr>
          <w:sz w:val="22"/>
        </w:rPr>
      </w:pPr>
      <w:r>
        <w:rPr>
          <w:sz w:val="22"/>
        </w:rPr>
        <w:t>If you have engaged counsel, please tell them that our litigation counsel is Richard Sanders, and he is expecting their call.  He can be reached at (713) 853-5587.  I would also suggest that before you pick up a pen and write another spurious memo that you consult your counsel about your or ECTMI’s true legal status with regard to Ecogas.  Better yet, pick up the phone and call me directly to discuss any issue regarding Ecogas.  My direct number is (713) 853-3212.</w:t>
      </w:r>
    </w:p>
    <w:p>
      <w:pPr>
        <w:pStyle w:val="Normal"/>
        <w:ind w:firstLine="720" w:end="0"/>
        <w:jc w:val="both"/>
        <w:rPr>
          <w:sz w:val="22"/>
        </w:rPr>
      </w:pPr>
      <w:r>
        <w:rPr>
          <w:sz w:val="22"/>
        </w:rPr>
      </w:r>
    </w:p>
    <w:p>
      <w:pPr>
        <w:pStyle w:val="Normal"/>
        <w:jc w:val="both"/>
        <w:rPr>
          <w:sz w:val="22"/>
        </w:rPr>
      </w:pPr>
      <w:r>
        <w:rPr>
          <w:sz w:val="22"/>
        </w:rPr>
        <w:tab/>
        <w:tab/>
        <w:tab/>
        <w:tab/>
        <w:tab/>
        <w:tab/>
        <w:t>Very truly yours,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Randy Maffett</w:t>
      </w:r>
    </w:p>
    <w:p>
      <w:pPr>
        <w:pStyle w:val="Normal"/>
        <w:jc w:val="both"/>
        <w:rPr>
          <w:sz w:val="22"/>
        </w:rPr>
      </w:pPr>
      <w:r>
        <w:rPr>
          <w:sz w:val="22"/>
        </w:rPr>
      </w:r>
    </w:p>
    <w:p>
      <w:pPr>
        <w:pStyle w:val="Normal"/>
        <w:jc w:val="both"/>
        <w:rPr>
          <w:sz w:val="22"/>
        </w:rPr>
      </w:pPr>
      <w:r>
        <w:rPr>
          <w:sz w:val="22"/>
        </w:rPr>
        <w:t>/rm</w:t>
      </w:r>
    </w:p>
    <w:p>
      <w:pPr>
        <w:pStyle w:val="Normal"/>
        <w:jc w:val="both"/>
        <w:rPr>
          <w:sz w:val="22"/>
        </w:rPr>
      </w:pPr>
      <w:r>
        <w:rPr>
          <w:sz w:val="22"/>
        </w:rPr>
      </w:r>
    </w:p>
    <w:p>
      <w:pPr>
        <w:pStyle w:val="Normal"/>
        <w:jc w:val="both"/>
        <w:rPr>
          <w:sz w:val="22"/>
        </w:rPr>
      </w:pPr>
      <w:r>
        <w:rPr>
          <w:sz w:val="22"/>
        </w:rPr>
        <w:t>cc:</w:t>
        <w:tab/>
        <w:t>Richard Sanders – ENA Legal</w:t>
      </w:r>
    </w:p>
    <w:p>
      <w:pPr>
        <w:pStyle w:val="Normal"/>
        <w:jc w:val="both"/>
        <w:rPr>
          <w:sz w:val="22"/>
        </w:rPr>
      </w:pPr>
      <w:r>
        <w:rPr>
          <w:sz w:val="22"/>
        </w:rPr>
      </w:r>
      <w:r>
        <w:br w:type="page"/>
      </w:r>
    </w:p>
    <w:p>
      <w:pPr>
        <w:pStyle w:val="Normal"/>
        <w:jc w:val="both"/>
        <w:rPr>
          <w:sz w:val="22"/>
        </w:rPr>
      </w:pPr>
      <w:r>
        <w:rPr>
          <w:sz w:val="22"/>
        </w:rPr>
        <w:t>bcc:</w:t>
        <w:tab/>
        <w:t>Mark Haedicke – General Counsel, ENA</w:t>
      </w:r>
    </w:p>
    <w:p>
      <w:pPr>
        <w:pStyle w:val="Normal"/>
        <w:ind w:firstLine="720" w:end="0"/>
        <w:jc w:val="both"/>
        <w:rPr>
          <w:sz w:val="22"/>
        </w:rPr>
      </w:pPr>
      <w:r>
        <w:rPr>
          <w:sz w:val="22"/>
        </w:rPr>
        <w:t>Dan Lyons – ENA Legal</w:t>
      </w:r>
    </w:p>
    <w:p>
      <w:pPr>
        <w:pStyle w:val="Normal"/>
        <w:ind w:firstLine="720" w:end="0"/>
        <w:jc w:val="both"/>
        <w:rPr>
          <w:sz w:val="22"/>
        </w:rPr>
      </w:pPr>
      <w:r>
        <w:rPr>
          <w:sz w:val="22"/>
        </w:rPr>
        <w:t>Rob Stephens – Bracewell &amp; Patterson</w:t>
      </w:r>
    </w:p>
    <w:sectPr>
      <w:headerReference w:type="default" r:id="rId2"/>
      <w:headerReference w:type="first" r:id="rId3"/>
      <w:footerReference w:type="default" r:id="rId4"/>
      <w:footerReference w:type="first" r:id="rId5"/>
      <w:type w:val="nextPage"/>
      <w:pgSz w:w="12240" w:h="15840"/>
      <w:pgMar w:left="1296" w:right="1296" w:gutter="0" w:header="720" w:top="1008"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/mnt/main-storage/datasets/enron-docs/doc/Jim_Hawes_6.23.00.doc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/mnt/main-storage/datasets/enron-docs/doc/Jim_Hawes_6.23.00.doc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Jim Hawes</w:t>
    </w:r>
  </w:p>
  <w:p>
    <w:pPr>
      <w:pStyle w:val="Header"/>
      <w:rPr/>
    </w:pPr>
    <w:r>
      <w:rPr/>
      <w:t>June 28,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824" w:leader="none"/>
        <w:tab w:val="right" w:pos="964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2000-06-23T14:32:00Z</dcterms:created>
  <dc:creator>Randy Maffett</dc:creator>
  <dc:description/>
  <dc:language>en-CA</dc:language>
  <cp:lastModifiedBy>tsweet</cp:lastModifiedBy>
  <cp:lastPrinted>2000-06-27T16:24:00Z</cp:lastPrinted>
  <dcterms:modified xsi:type="dcterms:W3CDTF">2000-06-28T21:56:00Z</dcterms:modified>
  <cp:revision>15</cp:revision>
  <dc:subject/>
  <dc:title>RESPONSE TO JIM HAWES  (ON ECOGAS CORP</dc:title>
</cp:coreProperties>
</file>