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November 30, 2000</w:t>
      </w:r>
    </w:p>
    <w:p>
      <w:pPr>
        <w:pStyle w:val="Normal"/>
        <w:jc w:val="center"/>
        <w:rPr/>
      </w:pPr>
      <w:r>
        <w:rPr/>
      </w:r>
    </w:p>
    <w:p>
      <w:pPr>
        <w:pStyle w:val="Normal"/>
        <w:jc w:val="center"/>
        <w:rPr/>
      </w:pPr>
      <w:r>
        <w:rPr/>
      </w:r>
    </w:p>
    <w:p>
      <w:pPr>
        <w:pStyle w:val="Normal"/>
        <w:jc w:val="center"/>
        <w:rPr/>
      </w:pPr>
      <w:r>
        <w:rPr/>
      </w:r>
    </w:p>
    <w:p>
      <w:pPr>
        <w:pStyle w:val="Normal"/>
        <w:jc w:val="both"/>
        <w:rPr/>
      </w:pPr>
      <w:r>
        <w:rPr/>
        <w:t>Mr. Jeffrey A. Esses</w:t>
      </w:r>
    </w:p>
    <w:p>
      <w:pPr>
        <w:pStyle w:val="Normal"/>
        <w:jc w:val="both"/>
        <w:rPr/>
      </w:pPr>
      <w:r>
        <w:rPr/>
        <w:t>Palmer, Guest &amp; Esses, P.C.</w:t>
      </w:r>
    </w:p>
    <w:p>
      <w:pPr>
        <w:pStyle w:val="Normal"/>
        <w:jc w:val="both"/>
        <w:rPr/>
      </w:pPr>
      <w:r>
        <w:rPr/>
        <w:t xml:space="preserve">1999 Broadway Suite 3235 </w:t>
      </w:r>
    </w:p>
    <w:p>
      <w:pPr>
        <w:pStyle w:val="Normal"/>
        <w:jc w:val="both"/>
        <w:rPr/>
      </w:pPr>
      <w:r>
        <w:rPr/>
        <w:t>Denver, Colorado 80202</w:t>
      </w:r>
    </w:p>
    <w:p>
      <w:pPr>
        <w:pStyle w:val="Normal"/>
        <w:jc w:val="both"/>
        <w:rPr/>
      </w:pPr>
      <w:r>
        <w:rPr/>
      </w:r>
    </w:p>
    <w:p>
      <w:pPr>
        <w:pStyle w:val="Normal"/>
        <w:jc w:val="both"/>
        <w:rPr/>
      </w:pPr>
      <w:r>
        <w:rPr/>
        <w:tab/>
        <w:t>Re:</w:t>
        <w:tab/>
        <w:t>Euell Energy Resources</w:t>
      </w:r>
    </w:p>
    <w:p>
      <w:pPr>
        <w:pStyle w:val="Normal"/>
        <w:jc w:val="both"/>
        <w:rPr/>
      </w:pPr>
      <w:r>
        <w:rPr/>
      </w:r>
    </w:p>
    <w:p>
      <w:pPr>
        <w:pStyle w:val="Normal"/>
        <w:jc w:val="both"/>
        <w:rPr/>
      </w:pPr>
      <w:r>
        <w:rPr/>
        <w:t>Dear Mr. Esses:</w:t>
      </w:r>
    </w:p>
    <w:p>
      <w:pPr>
        <w:pStyle w:val="Normal"/>
        <w:jc w:val="both"/>
        <w:rPr/>
      </w:pPr>
      <w:r>
        <w:rPr/>
      </w:r>
    </w:p>
    <w:p>
      <w:pPr>
        <w:pStyle w:val="Normal"/>
        <w:jc w:val="both"/>
        <w:rPr/>
      </w:pPr>
      <w:r>
        <w:rPr/>
        <w:t>This letter will respond to your November 22, 2000 letter to Ken Lay regarding Euell Energy Resources’ (“EER”) dispute with Enron concerning the purchase of oil from the Strategic Petroleum Reserve (“SPR”).  There are numerous statements contained in your letter that do not accurately reflect the negotiations between Enron and EER.  However, I do not think that it would be productive to outline these inaccuracies line by line.  I will address two specific allegations.  First, I strongly disagree with the overall theme of your letter that Enron somehow treated Mr. Euell unfairly.  On the contrary, John Nowlan and Patrick Danaher treated Mr. Euell with the utmost respect during the entire negotiation process.  Enron prides itself in working with its customers and prospects openly, honestly, and sincerely.  When John Nowlan said he had a keen interest in exploring the business opportunity with Mr. Euell, he was not misleading Mr. Euell in any way.  John Nowlan mobilized his Enron team to cover all aspects of the potential transaction including the legal, risk assessment, and credit departments.  Your client seems to be questioning Enron’s integrity based on the failure of the parties to enter into a binding transaction.  This characterization is unfair and untrue.</w:t>
      </w:r>
    </w:p>
    <w:p>
      <w:pPr>
        <w:pStyle w:val="Normal"/>
        <w:jc w:val="both"/>
        <w:rPr/>
      </w:pPr>
      <w:r>
        <w:rPr/>
      </w:r>
    </w:p>
    <w:p>
      <w:pPr>
        <w:pStyle w:val="Normal"/>
        <w:jc w:val="both"/>
        <w:rPr/>
      </w:pPr>
      <w:r>
        <w:rPr/>
        <w:t>Secondly, your letter implies that Euell and Enron entered into a binding contact for the sale of the SPR.  The truth is that Enron never had any semblance of an agreement with Euell about any aspects of a transaction.  In fact, as you point out in your letter, on numerous occasions, John Nowlan pointed out to Mr. Euell that because of the price volatility, Enron was not sure it wanted to assume the risk of the proposed transaction.  In the end, Enron never got comfortable with the risk profile of the transaction.  The tape recorded conversations between Enron’s traders and Mr. Euell clearly evidence that there was no agreement between Enron and EER.  Your letter also states that there was a separate agreement for Enron to provide an irrevocable letter of credit (“LOC”) to Euell for the purchase of the SPR.  While Enron did explore the possibility of obtaining a letter of credit so that it was ready if and when Enron decided to enter into the deal, John Nowlan never advised Mr. Euell that the LOC was “in place.”  Further, John Nowlan never advised that Euell Energy had access to Enron’s credit without a completed transaction.  Enron is a trading company, not a bank and does not issue letters of credit to potential customers.</w:t>
      </w:r>
      <w:r>
        <w:br w:type="page"/>
      </w:r>
    </w:p>
    <w:p>
      <w:pPr>
        <w:pStyle w:val="Normal"/>
        <w:jc w:val="both"/>
        <w:rPr/>
      </w:pPr>
      <w:r>
        <w:rPr/>
      </w:r>
    </w:p>
    <w:p>
      <w:pPr>
        <w:pStyle w:val="Normal"/>
        <w:jc w:val="both"/>
        <w:rPr/>
      </w:pPr>
      <w:r>
        <w:rPr/>
        <w:t>I understand Mr. Euell’s disappointment, but Enron does not believe that a continuing relationship between Enron and Euell will be furthered by the threat of litigation.  Enron stands ready, willing, and able to enter into discussions with EER regarding new crude oil transactions.  Please contact Harry Collins at (713) 853-9692 to outline any new crude oil proposals.  We will then evaluate the merits of your proposal.  However, the threat of litigation will not effect our willingness to enter into a transaction or the economics of the transaction.</w:t>
      </w:r>
    </w:p>
    <w:p>
      <w:pPr>
        <w:pStyle w:val="Normal"/>
        <w:jc w:val="both"/>
        <w:rPr/>
      </w:pPr>
      <w:r>
        <w:rPr/>
      </w:r>
    </w:p>
    <w:p>
      <w:pPr>
        <w:pStyle w:val="Normal"/>
        <w:jc w:val="both"/>
        <w:rPr/>
      </w:pPr>
      <w:r>
        <w:rPr/>
        <w:tab/>
        <w:tab/>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Richard B. Sanders</w:t>
      </w:r>
    </w:p>
    <w:p>
      <w:pPr>
        <w:pStyle w:val="Normal"/>
        <w:jc w:val="both"/>
        <w:rPr/>
      </w:pPr>
      <w:r>
        <w:rPr/>
      </w:r>
    </w:p>
    <w:p>
      <w:pPr>
        <w:pStyle w:val="Normal"/>
        <w:jc w:val="both"/>
        <w:rPr/>
      </w:pPr>
      <w:r>
        <w:rPr/>
        <w:t>RBS/tys</w:t>
      </w:r>
    </w:p>
    <w:sectPr>
      <w:headerReference w:type="default" r:id="rId2"/>
      <w:headerReference w:type="first" r:id="rId3"/>
      <w:footerReference w:type="default" r:id="rId4"/>
      <w:footerReference w:type="first" r:id="rId5"/>
      <w:type w:val="nextPage"/>
      <w:pgSz w:w="12240" w:h="15840"/>
      <w:pgMar w:left="1440" w:right="1440" w:gutter="0" w:header="720" w:top="144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/mnt/main-storage/datasets/enron-docs/doc/Jeffrey_Esses_11.29.00.doc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Mr. Jeffrey Esses</w:t>
    </w:r>
  </w:p>
  <w:p>
    <w:pPr>
      <w:pStyle w:val="Header"/>
      <w:rPr>
        <w:sz w:val="20"/>
      </w:rPr>
    </w:pPr>
    <w:r>
      <w:rPr>
        <w:sz w:val="20"/>
      </w:rPr>
      <w:t>November 30, 2000</w:t>
    </w:r>
  </w:p>
  <w:p>
    <w:pPr>
      <w:pStyle w:val="Header"/>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2000-11-29T12:22:00Z</dcterms:created>
  <dc:creator>tsweet</dc:creator>
  <dc:description/>
  <dc:language>en-CA</dc:language>
  <cp:lastModifiedBy>tsweet</cp:lastModifiedBy>
  <cp:lastPrinted>2000-11-30T10:54:00Z</cp:lastPrinted>
  <dcterms:modified xsi:type="dcterms:W3CDTF">2000-11-30T15:23:00Z</dcterms:modified>
  <cp:revision>22</cp:revision>
  <dc:subject/>
  <dc:title>November 29, 2000</dc:title>
</cp:coreProperties>
</file>