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/>
      </w:pPr>
      <w:r>
        <w:rPr>
          <w:b/>
          <w:i/>
          <w:sz w:val="44"/>
        </w:rPr>
        <w:t>CyberAir Communications, Inc.</w:t>
        <w:tab/>
      </w:r>
      <w:r>
        <w:rPr>
          <w:b/>
          <w:i/>
        </w:rPr>
        <w:tab/>
        <w:tab/>
        <w:tab/>
        <w:tab/>
        <w:tab/>
        <w:tab/>
        <w:tab/>
      </w:r>
      <w:r>
        <w:rPr>
          <w:rFonts w:cs="Verdana" w:ascii="Verdana" w:hAnsi="Verdana"/>
          <w:sz w:val="22"/>
        </w:rPr>
        <w:t>The Light Age Company</w:t>
      </w:r>
      <w:r>
        <w:rPr>
          <w:rFonts w:cs="Verdana" w:ascii="Verdana" w:hAnsi="Verdana"/>
        </w:rPr>
        <w:t>™</w:t>
      </w:r>
    </w:p>
    <w:p>
      <w:pPr>
        <w:pStyle w:val="Normal"/>
        <w:pBdr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pBdr/>
        <w:ind w:firstLine="720" w:start="2880" w:end="0"/>
        <w:rPr/>
      </w:pPr>
      <w:r>
        <w:rPr/>
        <w:t>11150 W. Olympic Blvd., Suite 810, Los Angeles, CA 90064</w:t>
      </w:r>
    </w:p>
    <w:p>
      <w:pPr>
        <w:pStyle w:val="Normal"/>
        <w:jc w:val="end"/>
        <w:rPr/>
      </w:pPr>
      <w:r>
        <w:rPr/>
        <w:t>Telephone: (310) 479-5430 Facsimile: (310) 479-7130</w:t>
      </w:r>
    </w:p>
    <w:p>
      <w:pPr>
        <w:pStyle w:val="Normal"/>
        <w:jc w:val="end"/>
        <w:rPr/>
      </w:pPr>
      <w:r>
        <w:rPr/>
        <w:t>MGH9999@aol.com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/>
      </w:pPr>
      <w:r>
        <w:rPr>
          <w:color w:val="000000"/>
        </w:rPr>
        <w:tab/>
        <w:tab/>
        <w:tab/>
        <w:tab/>
        <w:tab/>
        <w:tab/>
        <w:tab/>
        <w:tab/>
        <w:tab/>
      </w:r>
      <w:r>
        <w:rPr>
          <w:color w:val="000000"/>
          <w:sz w:val="24"/>
        </w:rPr>
        <w:t>December 1, 2000</w:t>
      </w:r>
    </w:p>
    <w:p>
      <w:pPr>
        <w:pStyle w:val="BodyText2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2"/>
        <w:rPr/>
      </w:pPr>
      <w:r>
        <w:rPr/>
        <w:t xml:space="preserve">Enron Corporation </w:t>
      </w:r>
    </w:p>
    <w:p>
      <w:pPr>
        <w:pStyle w:val="Normal"/>
        <w:rPr>
          <w:sz w:val="24"/>
        </w:rPr>
      </w:pPr>
      <w:r>
        <w:rPr>
          <w:sz w:val="24"/>
        </w:rPr>
        <w:t>1400 Smith Street</w:t>
      </w:r>
    </w:p>
    <w:p>
      <w:pPr>
        <w:pStyle w:val="BodyText2"/>
        <w:rPr/>
      </w:pPr>
      <w:r>
        <w:rPr/>
        <w:t>Houston, TX 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4"/>
        </w:rPr>
        <w:t xml:space="preserve">Attn: </w:t>
        <w:tab/>
      </w:r>
      <w:r>
        <w:rPr>
          <w:color w:val="000000"/>
          <w:sz w:val="24"/>
        </w:rPr>
        <w:t>Jeff Skilling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ab/>
        <w:t xml:space="preserve">President &amp; COO 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Indent"/>
        <w:rPr/>
      </w:pPr>
      <w:r>
        <w:rPr/>
        <w:t>Re:</w:t>
        <w:tab/>
        <w:t>Disruptive technologies enabling a quantum breakthrough in optical bandwidth and storewidth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sz w:val="24"/>
        </w:rPr>
        <w:t xml:space="preserve">Dear Mr. </w:t>
      </w:r>
      <w:r>
        <w:rPr>
          <w:color w:val="000000"/>
          <w:sz w:val="24"/>
        </w:rPr>
        <w:t>Skilling</w:t>
      </w:r>
      <w:r>
        <w:rPr>
          <w:sz w:val="24"/>
        </w:rPr>
        <w:t>:</w:t>
      </w:r>
    </w:p>
    <w:p>
      <w:pPr>
        <w:pStyle w:val="Normal"/>
        <w:widowControl w:val="false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/>
      </w:pPr>
      <w:r>
        <w:rPr>
          <w:color w:val="000000"/>
          <w:sz w:val="24"/>
        </w:rPr>
        <w:t xml:space="preserve">CyberAir Communications, Inc. (“CyberAir”) is a privately held Delaware corporation established to acquire and/or develop optical telecommunication/storage technologies for global deployment. CyberAir’s strategic focus is to build a telecommunications / storage company offering domestic and international products and services that capitalize on the Company’s unique, proprietary suite of technologies.  The Company’s core technologies are the </w:t>
      </w:r>
      <w:r>
        <w:rPr>
          <w:b/>
          <w:color w:val="000000"/>
          <w:sz w:val="24"/>
        </w:rPr>
        <w:t>Channel Expansion System</w:t>
      </w:r>
      <w:r>
        <w:rPr>
          <w:color w:val="000000"/>
          <w:sz w:val="24"/>
        </w:rPr>
        <w:t xml:space="preserve"> (CES) and the </w:t>
      </w:r>
      <w:r>
        <w:rPr>
          <w:b/>
          <w:color w:val="000000"/>
          <w:sz w:val="24"/>
        </w:rPr>
        <w:t>Optical Storage System</w:t>
      </w:r>
      <w:r>
        <w:rPr>
          <w:color w:val="000000"/>
          <w:sz w:val="24"/>
        </w:rPr>
        <w:t xml:space="preserve"> (OSS).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/>
      </w:pPr>
      <w:r>
        <w:rPr>
          <w:color w:val="000000"/>
          <w:sz w:val="24"/>
        </w:rPr>
        <w:t xml:space="preserve">CES is based upon quantum optics and provides a unique concept for communications.  The system affords the capability to transport 2000 or more channels simultaneously and bi-directionally over a single optical fiber with no interference.  In both </w:t>
      </w:r>
      <w:r>
        <w:rPr>
          <w:color w:val="000000"/>
          <w:sz w:val="24"/>
          <w:u w:val="single"/>
        </w:rPr>
        <w:t>wired</w:t>
      </w:r>
      <w:r>
        <w:rPr>
          <w:color w:val="000000"/>
          <w:sz w:val="24"/>
        </w:rPr>
        <w:t xml:space="preserve"> and </w:t>
      </w:r>
      <w:r>
        <w:rPr>
          <w:color w:val="000000"/>
          <w:sz w:val="24"/>
          <w:u w:val="single"/>
        </w:rPr>
        <w:t>wireless</w:t>
      </w:r>
      <w:r>
        <w:rPr>
          <w:color w:val="000000"/>
          <w:sz w:val="24"/>
        </w:rPr>
        <w:t xml:space="preserve"> modes, the system creates bandwidth up to 8GHz.  This non-contention system provides long-line capacity expansion as well as last mile wired and wireless connectivity.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The Company has targeted the Multiple Tenant Unit (MTU) market as its initial primary market.  The bandwidth/storage problems that Class A office space inherently face make this market a prime target for significant revenue opportunities.  The Company is presently in discussions with several of the country’s leading building management firms, which have more than 1 billion square feet under contract, to provide all telecommunication/storage products and services to their tenants.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/>
      </w:pPr>
      <w:r>
        <w:rPr>
          <w:color w:val="000000"/>
          <w:sz w:val="24"/>
        </w:rPr>
        <w:t xml:space="preserve">CyberAir’s </w:t>
      </w:r>
      <w:r>
        <w:rPr>
          <w:b/>
          <w:color w:val="000000"/>
          <w:sz w:val="24"/>
        </w:rPr>
        <w:t>Optical Storage System</w:t>
      </w:r>
      <w:r>
        <w:rPr>
          <w:color w:val="000000"/>
          <w:sz w:val="24"/>
        </w:rPr>
        <w:t xml:space="preserve"> has a media density of the order ranging from 10 Gbit/sqi to an upper limit of approximately 40-50 Gbi/sqi.  This upper limit of storage 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density will permit fabrication of optical discs with a capacity on the order of 4 plus 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terabits on a 12-inch disc, or 1.2 terabits for a double-sided DVD type disc.  As an example, a configuration of 3 discs in a television set-top box would provide a library in 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BodyText"/>
        <w:rPr/>
      </w:pPr>
      <w:r>
        <w:rPr/>
        <w:t xml:space="preserve">situ approximating 6000 feature films or the equivalent of that of a typical Blockbuster Video store. 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An installation for the transmission of video-on-demand or movies consists of four or more readout stations which are enabled for simultaneous distribution to servers and/or end users.  This data can be read out at speeds greater than 25 gigabits per second.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The recording media utilized by CyberAir is a proprietary material, protected by 10 world wide patents, which is comprised of a hexylmethacrylate monomer layer applied over a metallic substrate in which non-silver photosensitive particles have been implanted.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In summary, CyberAir Communications, Inc.’s proprietary, patented technologies position it uniquely to benefit from both sides of the bandwidth/storewidth equation.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>I may be contacted at (212-953-4919 NYC office or MGH9999@aol.com) to discuss this opportunity in greater detail.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ab/>
        <w:tab/>
      </w:r>
    </w:p>
    <w:p>
      <w:pPr>
        <w:pStyle w:val="Normal"/>
        <w:widowControl w:val="false"/>
        <w:ind w:firstLine="720" w:start="504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Very sincerely yours,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ab/>
        <w:tab/>
        <w:t>Mark G. Hollo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ab/>
        <w:tab/>
        <w:t>Cofounder</w:t>
      </w:r>
    </w:p>
    <w:p>
      <w:pPr>
        <w:pStyle w:val="BodyTextIndent2"/>
        <w:rPr/>
      </w:pPr>
      <w:r>
        <w:rPr/>
        <w:t xml:space="preserve"> </w:t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widowControl w:val="false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Footer"/>
        <w:tabs>
          <w:tab w:val="clear" w:pos="4320"/>
          <w:tab w:val="clear" w:pos="8640"/>
        </w:tabs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720" w:top="108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i/>
        <w:i/>
        <w:sz w:val="22"/>
      </w:rPr>
    </w:pPr>
    <w:r>
      <w:rPr>
        <w:b/>
        <w:i/>
        <w:sz w:val="22"/>
      </w:rPr>
      <w:t>CyberAir Communications, Inc.</w:t>
    </w:r>
  </w:p>
  <w:p>
    <w:pPr>
      <w:pStyle w:val="Header"/>
      <w:rPr/>
    </w:pPr>
    <w:r>
      <w:rPr>
        <w:rFonts w:eastAsia="Verdana" w:cs="Verdana" w:ascii="Verdana" w:hAnsi="Verdana"/>
        <w:sz w:val="16"/>
      </w:rPr>
      <w:t xml:space="preserve"> </w:t>
    </w:r>
    <w:r>
      <w:rPr>
        <w:rFonts w:eastAsia="Verdana" w:cs="Verdana" w:ascii="Verdana" w:hAnsi="Verdana"/>
        <w:sz w:val="16"/>
      </w:rPr>
      <w:t xml:space="preserve">             </w:t>
    </w:r>
    <w:r>
      <w:rPr>
        <w:rFonts w:cs="Verdana" w:ascii="Verdana" w:hAnsi="Verdana"/>
        <w:sz w:val="16"/>
      </w:rPr>
      <w:t>The Light Age Company™</w:t>
    </w:r>
  </w:p>
  <w:p>
    <w:pPr>
      <w:pStyle w:val="Header"/>
      <w:rPr/>
    </w:pPr>
    <w:r>
      <w:rPr>
        <w:rFonts w:cs="Verdana" w:ascii="Verdana" w:hAnsi="Verdana"/>
        <w:sz w:val="18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b/>
        <w:i/>
        <w:sz w:val="44"/>
      </w:rPr>
      <w:tab/>
    </w:r>
    <w:r>
      <w:rPr>
        <w:b/>
        <w:i/>
        <w:sz w:val="20"/>
      </w:rPr>
      <w:tab/>
      <w:tab/>
      <w:tab/>
      <w:tab/>
      <w:tab/>
      <w:tab/>
      <w:tab/>
    </w:r>
    <w:r>
      <w:rPr>
        <w:rFonts w:cs="Verdana" w:ascii="Verdana" w:hAnsi="Verdana"/>
        <w:sz w:val="22"/>
      </w:rPr>
      <w:t>The Light Age Company</w:t>
    </w:r>
    <w:r>
      <w:rPr>
        <w:rFonts w:cs="Verdana" w:ascii="Verdana" w:hAnsi="Verdana"/>
        <w:sz w:val="20"/>
      </w:rPr>
      <w:t>™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b/>
        <w:i/>
        <w:sz w:val="44"/>
      </w:rPr>
      <w:tab/>
    </w:r>
    <w:r>
      <w:rPr>
        <w:b/>
        <w:i/>
        <w:sz w:val="20"/>
      </w:rPr>
      <w:tab/>
      <w:tab/>
      <w:tab/>
      <w:tab/>
      <w:tab/>
      <w:tab/>
      <w:tab/>
    </w:r>
    <w:r>
      <w:rPr>
        <w:rFonts w:cs="Verdana" w:ascii="Verdana" w:hAnsi="Verdana"/>
        <w:sz w:val="22"/>
      </w:rPr>
      <w:t>The Light Age Company</w:t>
    </w:r>
    <w:r>
      <w:rPr>
        <w:rFonts w:cs="Verdana" w:ascii="Verdana" w:hAnsi="Verdana"/>
        <w:sz w:val="20"/>
      </w:rPr>
      <w:t>™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outlineLvl w:val="2"/>
    </w:pPr>
    <w:rPr>
      <w:color w:val="000000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jc w:val="both"/>
    </w:pPr>
    <w:rPr>
      <w:color w:val="000000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BodyTextIndent">
    <w:name w:val="Body Text Indent"/>
    <w:basedOn w:val="Normal"/>
    <w:pPr>
      <w:ind w:hanging="720" w:start="1440" w:end="0"/>
    </w:pPr>
    <w:rPr>
      <w:b/>
      <w:color w:val="000000"/>
      <w:sz w:val="24"/>
    </w:rPr>
  </w:style>
  <w:style w:type="paragraph" w:styleId="BodyTextIndent2">
    <w:name w:val="Body Text Indent 2"/>
    <w:basedOn w:val="Normal"/>
    <w:qFormat/>
    <w:pPr>
      <w:widowControl w:val="false"/>
      <w:ind w:hanging="720" w:start="720" w:end="0"/>
    </w:pPr>
    <w:rPr>
      <w:color w:val="00000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2000-12-01T18:30:00Z</dcterms:created>
  <dc:creator>LMAZZA</dc:creator>
  <dc:description/>
  <dc:language>en-CA</dc:language>
  <cp:lastModifiedBy>LMAZZA</cp:lastModifiedBy>
  <cp:lastPrinted>2000-12-01T15:00:00Z</cp:lastPrinted>
  <dcterms:modified xsi:type="dcterms:W3CDTF">2000-12-01T18:30:00Z</dcterms:modified>
  <cp:revision>2</cp:revision>
  <dc:subject/>
  <dc:title>CyberAir Communications, Inc</dc:title>
</cp:coreProperties>
</file>