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Jeanette Doll is critical and indispensable to the ability of the Rates and Tariff section to provide timely and accurate regulatory service to the Transwestern commercial group and to fulfill all of our regulatory obligations pursuant to the requirements of Transwestern’s tariff and the regulations of the FERC.</w:t>
      </w:r>
    </w:p>
    <w:p>
      <w:pPr>
        <w:pStyle w:val="Normal"/>
        <w:rPr/>
      </w:pPr>
      <w:r>
        <w:rPr/>
      </w:r>
    </w:p>
    <w:p>
      <w:pPr>
        <w:pStyle w:val="Normal"/>
        <w:rPr/>
      </w:pPr>
      <w:r>
        <w:rPr/>
        <w:t>Jeanette has worked over 12 years on Transwestern Pipeline Company.  During that time, the departments/ responsibilities within Transwestern which contributed to her knowledge base include:   Gas Accountant, Regulatory Tariff Analysis, Senior Rates/Regulatory Analyst, Senior Marketing/ Commercial Support Analyst.</w:t>
      </w:r>
    </w:p>
    <w:p>
      <w:pPr>
        <w:pStyle w:val="Normal"/>
        <w:rPr/>
      </w:pPr>
      <w:r>
        <w:rPr/>
      </w:r>
    </w:p>
    <w:p>
      <w:pPr>
        <w:pStyle w:val="BodyTextIndent2"/>
        <w:ind w:start="0" w:end="0"/>
        <w:rPr/>
      </w:pPr>
      <w:r>
        <w:rPr/>
        <w:t>During the last six years, Jeanette has been in the Marketing Analysis/ Commercial Support area.  For the first four years in this position, she was the only Transwestern Marketing Analyst that supported the Marketing group.  In this position she: a) developed the Marketing budgets and plans, which has given her great understanding of Transwestern contracts and their financial impacts; b) developed the forecasting and revenue presentations; c) created modeling and analysis tools which have been beneficial to the Marketing area; and d) was responsible for day-to-day financial analysis and reporting.   During the last two years, Jeanette has worked both part time and full time to train incoming marketing analysts.  Most recently, she developed two financial models for both planning cycles and day-to-day financial analysis.</w:t>
      </w:r>
    </w:p>
    <w:p>
      <w:pPr>
        <w:pStyle w:val="Normal"/>
        <w:rPr/>
      </w:pPr>
      <w:r>
        <w:rPr/>
      </w:r>
    </w:p>
    <w:p>
      <w:pPr>
        <w:pStyle w:val="Normal"/>
        <w:rPr/>
      </w:pPr>
      <w:r>
        <w:rPr/>
        <w:t xml:space="preserve">Transwestern’s currently effective tariff, in large part, resulted from the Global Settlement and Mini-Settlement between Transwestern and its shippers which were approved by the FERC in 1995 and 1996, respectively.  The complex and far reaching Global Settlement provides for different tariff rates applicable to different classes of customers, and the proper application of the complex rate structure requires a thorough understanding of the Global Settlement </w:t>
      </w:r>
      <w:r>
        <w:rPr>
          <w:u w:val="single"/>
        </w:rPr>
        <w:t>and</w:t>
      </w:r>
      <w:r>
        <w:rPr/>
        <w:t xml:space="preserve"> the </w:t>
      </w:r>
      <w:r>
        <w:rPr>
          <w:u w:val="single"/>
        </w:rPr>
        <w:t>intent of the parties to it</w:t>
      </w:r>
      <w:r>
        <w:rPr/>
        <w:t xml:space="preserve">.   (Jeanette’s knowledge and background in verifying details of the Global and Mini Settlements has been helpful during recent negotiations with SoCal in the rate dispute proceedings currently ongoing at the FERC.)   Jeanette is the </w:t>
      </w:r>
      <w:r>
        <w:rPr>
          <w:u w:val="single"/>
        </w:rPr>
        <w:t>only</w:t>
      </w:r>
      <w:r>
        <w:rPr/>
        <w:t xml:space="preserve"> member of the Transwestern regulatory group at the time the Global Settlement was entered into who is currently available to assist in regulatory and commercial matters pertaining to the Global Settlement.  Jeanette created and ran the rates model used to calculate and determine these rates.  Her knowledge in this area is still being accessed by many different departments within Transwestern.  For example, in November 2001, Jeanette developed a presentation on Transwestern, which included many regulatory issues, Global Settlement details, and both general and detailed marketing information.</w:t>
      </w:r>
    </w:p>
    <w:p>
      <w:pPr>
        <w:pStyle w:val="Normal"/>
        <w:rPr/>
      </w:pPr>
      <w:r>
        <w:rPr/>
      </w:r>
    </w:p>
    <w:p>
      <w:pPr>
        <w:pStyle w:val="Normal"/>
        <w:rPr/>
      </w:pPr>
      <w:r>
        <w:rPr/>
        <w:t xml:space="preserve">When the Rates and Certificates Department in Houston assumed the responsibility for Transwestern regulatory matters, </w:t>
      </w:r>
      <w:r>
        <w:rPr>
          <w:u w:val="single"/>
        </w:rPr>
        <w:t>no</w:t>
      </w:r>
      <w:r>
        <w:rPr/>
        <w:t xml:space="preserve"> full time staff additions were requested.  Instead, we determined that, because of Jeanette’s unique experience and skill sets, we could assume the Transwestern regulatory load with the assistance of Jeanette working as a part time contractor.  Without Jeanette’s experience and skills, I estimate that at least 1 FTE would be required to perform the TW regulatory function at a </w:t>
      </w:r>
      <w:r>
        <w:rPr>
          <w:u w:val="single"/>
        </w:rPr>
        <w:t>minimally</w:t>
      </w:r>
      <w:r>
        <w:rPr/>
        <w:t xml:space="preserve"> acceptable level.</w:t>
      </w:r>
    </w:p>
    <w:p>
      <w:pPr>
        <w:pStyle w:val="Normal"/>
        <w:rPr/>
      </w:pPr>
      <w:r>
        <w:rPr/>
      </w:r>
    </w:p>
    <w:p>
      <w:pPr>
        <w:pStyle w:val="Normal"/>
        <w:rPr/>
      </w:pPr>
      <w:r>
        <w:rPr/>
      </w:r>
    </w:p>
    <w:p>
      <w:pPr>
        <w:pStyle w:val="Normal"/>
        <w:rPr/>
      </w:pPr>
      <w:r>
        <w:rPr/>
        <w:t>Among the ongoing tasks for which Jeanette has primary responsibility are:</w:t>
      </w:r>
    </w:p>
    <w:p>
      <w:pPr>
        <w:pStyle w:val="Normal"/>
        <w:rPr/>
      </w:pPr>
      <w:r>
        <w:rPr/>
      </w:r>
    </w:p>
    <w:p>
      <w:pPr>
        <w:pStyle w:val="BodyTextIndent"/>
        <w:numPr>
          <w:ilvl w:val="0"/>
          <w:numId w:val="1"/>
        </w:numPr>
        <w:spacing w:lineRule="auto" w:line="240"/>
        <w:ind w:hanging="720" w:start="1440" w:end="0"/>
        <w:rPr/>
      </w:pPr>
      <w:r>
        <w:rPr/>
        <w:t>Input of Transwestern Tariff Rates into the CBS system, which are used in the billing of invoices by Market Services and in planning, budgeting and financial reporting cycles by Marketing and its Commercial Support staff.</w:t>
      </w:r>
    </w:p>
    <w:p>
      <w:pPr>
        <w:pStyle w:val="BodyTextIndent"/>
        <w:spacing w:lineRule="auto" w:line="240"/>
        <w:ind w:hanging="0" w:start="720" w:end="0"/>
        <w:rPr/>
      </w:pPr>
      <w:r>
        <w:rPr/>
      </w:r>
    </w:p>
    <w:p>
      <w:pPr>
        <w:pStyle w:val="Normal"/>
        <w:numPr>
          <w:ilvl w:val="0"/>
          <w:numId w:val="1"/>
        </w:numPr>
        <w:tabs>
          <w:tab w:val="left" w:pos="720" w:leader="none"/>
        </w:tabs>
        <w:ind w:hanging="720" w:start="1440" w:end="0"/>
        <w:rPr/>
      </w:pPr>
      <w:r>
        <w:rPr/>
        <w:t>Calculation of discounted rates that differ from month-to-month on any Transwestern long-term contracts.  These contracts have both negotiated and discounted rates that that CBS system is unable to bill correctly.  These contracts have to be manually invoiced each month in order for Transwestern to be sure to bill and collect the correct revenues agreed to under each contract.  Also, Jeanette checks the invoices to verify the amounts being billed.</w:t>
      </w:r>
    </w:p>
    <w:p>
      <w:pPr>
        <w:pStyle w:val="Normal"/>
        <w:tabs>
          <w:tab w:val="left" w:pos="720" w:leader="none"/>
        </w:tabs>
        <w:rPr/>
      </w:pPr>
      <w:r>
        <w:rPr/>
      </w:r>
    </w:p>
    <w:p>
      <w:pPr>
        <w:pStyle w:val="Normal"/>
        <w:tabs>
          <w:tab w:val="left" w:pos="720" w:leader="none"/>
        </w:tabs>
        <w:ind w:start="720" w:end="0"/>
        <w:rPr/>
      </w:pPr>
      <w:r>
        <w:rPr/>
      </w:r>
    </w:p>
    <w:p>
      <w:pPr>
        <w:pStyle w:val="Normal"/>
        <w:numPr>
          <w:ilvl w:val="0"/>
          <w:numId w:val="1"/>
        </w:numPr>
        <w:tabs>
          <w:tab w:val="left" w:pos="720" w:leader="none"/>
        </w:tabs>
        <w:ind w:hanging="720" w:start="1440" w:end="0"/>
        <w:rPr/>
      </w:pPr>
      <w:r>
        <w:rPr/>
        <w:t>All Tariff filings including:</w:t>
      </w:r>
    </w:p>
    <w:p>
      <w:pPr>
        <w:pStyle w:val="BodyTextIndent2"/>
        <w:rPr/>
      </w:pPr>
      <w:r>
        <w:rPr/>
      </w:r>
    </w:p>
    <w:p>
      <w:pPr>
        <w:pStyle w:val="Normal"/>
        <w:numPr>
          <w:ilvl w:val="1"/>
          <w:numId w:val="1"/>
        </w:numPr>
        <w:tabs>
          <w:tab w:val="left" w:pos="720" w:leader="none"/>
        </w:tabs>
        <w:rPr/>
      </w:pPr>
      <w:r>
        <w:rPr>
          <w:i/>
          <w:iCs/>
        </w:rPr>
        <w:t xml:space="preserve">Current Firm Shipper Rate Filings  – </w:t>
      </w:r>
      <w:r>
        <w:rPr/>
        <w:t>The current firm shipper rates require a calculation cased on the implicit price deflator to the Gross Domestic Product using specific conditions agreed to in the Global Settlement and amended by the Mini-Settlement.  Because Jeanette helped develop these rate calculations, she already has the knowledge base.  Also, she has the knowledge and access to input and maintain these rates in the CBS system</w:t>
      </w:r>
    </w:p>
    <w:p>
      <w:pPr>
        <w:pStyle w:val="Normal"/>
        <w:tabs>
          <w:tab w:val="left" w:pos="720" w:leader="none"/>
        </w:tabs>
        <w:ind w:start="1440" w:end="0"/>
        <w:rPr/>
      </w:pPr>
      <w:r>
        <w:rPr/>
      </w:r>
    </w:p>
    <w:p>
      <w:pPr>
        <w:pStyle w:val="Normal"/>
        <w:numPr>
          <w:ilvl w:val="1"/>
          <w:numId w:val="1"/>
        </w:numPr>
        <w:tabs>
          <w:tab w:val="left" w:pos="720" w:leader="none"/>
        </w:tabs>
        <w:rPr/>
      </w:pPr>
      <w:r>
        <w:rPr>
          <w:i/>
          <w:iCs/>
        </w:rPr>
        <w:t>Index of Customers –</w:t>
      </w:r>
      <w:r>
        <w:rPr/>
        <w:t xml:space="preserve"> The information is pulled out of Business Objects; currently Jeanette is the only regulatory rates and tariffs analyst who has access and knowledge of the software and database.  Her background is needed in analyzing the customers and contracts.</w:t>
      </w:r>
    </w:p>
    <w:p>
      <w:pPr>
        <w:pStyle w:val="Normal"/>
        <w:tabs>
          <w:tab w:val="left" w:pos="720" w:leader="none"/>
        </w:tabs>
        <w:rPr/>
      </w:pPr>
      <w:r>
        <w:rPr/>
      </w:r>
    </w:p>
    <w:p>
      <w:pPr>
        <w:pStyle w:val="Normal"/>
        <w:tabs>
          <w:tab w:val="left" w:pos="720" w:leader="none"/>
        </w:tabs>
        <w:ind w:start="1440" w:end="0"/>
        <w:rPr/>
      </w:pPr>
      <w:r>
        <w:rPr/>
      </w:r>
    </w:p>
    <w:p>
      <w:pPr>
        <w:pStyle w:val="Normal"/>
        <w:numPr>
          <w:ilvl w:val="1"/>
          <w:numId w:val="1"/>
        </w:numPr>
        <w:tabs>
          <w:tab w:val="left" w:pos="720" w:leader="none"/>
        </w:tabs>
        <w:rPr/>
      </w:pPr>
      <w:r>
        <w:rPr>
          <w:i/>
          <w:iCs/>
        </w:rPr>
        <w:t>Negotiated Rate Filing –</w:t>
      </w:r>
      <w:r>
        <w:rPr/>
        <w:t xml:space="preserve"> Jeanette has specific contract knowledge and details which are necessary for being accurate and keeping up with the contracts that need to be filed.</w:t>
      </w:r>
    </w:p>
    <w:p>
      <w:pPr>
        <w:pStyle w:val="Normal"/>
        <w:tabs>
          <w:tab w:val="left" w:pos="720" w:leader="none"/>
        </w:tabs>
        <w:ind w:start="1440" w:end="0"/>
        <w:rPr/>
      </w:pPr>
      <w:r>
        <w:rPr/>
      </w:r>
    </w:p>
    <w:p>
      <w:pPr>
        <w:pStyle w:val="Normal"/>
        <w:numPr>
          <w:ilvl w:val="1"/>
          <w:numId w:val="1"/>
        </w:numPr>
        <w:tabs>
          <w:tab w:val="left" w:pos="720" w:leader="none"/>
        </w:tabs>
        <w:rPr/>
      </w:pPr>
      <w:r>
        <w:rPr>
          <w:i/>
          <w:iCs/>
        </w:rPr>
        <w:t xml:space="preserve">TCR Filings – </w:t>
      </w:r>
      <w:r>
        <w:rPr/>
        <w:t>The TRC Surcharge calculations require analyzing the annual commodity flows of each Current Firm Shipper and Comparing that to the total flow of all the current Firm Shippers.  Then the specified conditions from the Global and Mini-Settlements are used to calculate two separate surcharges for each Current Firm Shipper. Because Jeanette helped develop the rate calculation of this surcharge, she already has the knowledge base.  Also, the data for this filing has to pulled from the CBS database using Business Objects.</w:t>
      </w:r>
    </w:p>
    <w:p>
      <w:pPr>
        <w:pStyle w:val="Normal"/>
        <w:tabs>
          <w:tab w:val="left" w:pos="720" w:leader="none"/>
        </w:tabs>
        <w:rPr/>
      </w:pPr>
      <w:r>
        <w:rPr/>
      </w:r>
    </w:p>
    <w:p>
      <w:pPr>
        <w:pStyle w:val="Normal"/>
        <w:numPr>
          <w:ilvl w:val="1"/>
          <w:numId w:val="1"/>
        </w:numPr>
        <w:tabs>
          <w:tab w:val="left" w:pos="720" w:leader="none"/>
        </w:tabs>
        <w:rPr/>
      </w:pPr>
      <w:r>
        <w:rPr>
          <w:i/>
          <w:iCs/>
        </w:rPr>
        <w:t>GRI Filings  –</w:t>
      </w:r>
      <w:r>
        <w:rPr/>
        <w:t xml:space="preserve"> Jeanette has the rate calculation knowledge needed for this surcharge.  Also, the data for this filing has to pulled from the CBS database using Business Objects.</w:t>
      </w:r>
    </w:p>
    <w:p>
      <w:pPr>
        <w:pStyle w:val="Normal"/>
        <w:tabs>
          <w:tab w:val="left" w:pos="720" w:leader="none"/>
        </w:tabs>
        <w:rPr/>
      </w:pPr>
      <w:r>
        <w:rPr/>
      </w:r>
    </w:p>
    <w:p>
      <w:pPr>
        <w:pStyle w:val="Normal"/>
        <w:tabs>
          <w:tab w:val="left" w:pos="720" w:leader="none"/>
        </w:tabs>
        <w:ind w:start="1440" w:end="0"/>
        <w:rPr/>
      </w:pPr>
      <w:r>
        <w:rPr/>
      </w:r>
    </w:p>
    <w:p>
      <w:pPr>
        <w:pStyle w:val="Normal"/>
        <w:numPr>
          <w:ilvl w:val="1"/>
          <w:numId w:val="1"/>
        </w:numPr>
        <w:tabs>
          <w:tab w:val="left" w:pos="720" w:leader="none"/>
        </w:tabs>
        <w:rPr/>
      </w:pPr>
      <w:r>
        <w:rPr>
          <w:i/>
          <w:iCs/>
        </w:rPr>
        <w:t xml:space="preserve">ACA Filings and General Tariff Filings -  </w:t>
      </w:r>
      <w:r>
        <w:rPr/>
        <w:t>Jeanette already has the regulatory background do both these rates and tariffs filings for Transwestern.</w:t>
      </w:r>
    </w:p>
    <w:p>
      <w:pPr>
        <w:pStyle w:val="Normal"/>
        <w:tabs>
          <w:tab w:val="left" w:pos="720" w:leader="none"/>
        </w:tabs>
        <w:ind w:start="1440" w:end="0"/>
        <w:rPr/>
      </w:pPr>
      <w:r>
        <w:rPr/>
      </w:r>
    </w:p>
    <w:p>
      <w:pPr>
        <w:pStyle w:val="Normal"/>
        <w:tabs>
          <w:tab w:val="left" w:pos="720" w:leader="none"/>
        </w:tabs>
        <w:rPr/>
      </w:pPr>
      <w:r>
        <w:rPr/>
        <w:t>In addition, Jeanette is a critical resource to other Transwestern departments including Deal Capture (provides input and regulatory clarification on non-standard and regulatory clauses in all new or amended contracts) and the System Team working on development of the new Transwestern Contract system</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720" w:end="0"/>
    </w:pPr>
    <w:rPr/>
  </w:style>
  <w:style w:type="paragraph" w:styleId="BodyTextIndent">
    <w:name w:val="Body Text Indent"/>
    <w:basedOn w:val="Normal"/>
    <w:pPr>
      <w:tabs>
        <w:tab w:val="left" w:pos="720" w:leader="none"/>
      </w:tabs>
      <w:spacing w:lineRule="auto" w:line="480"/>
      <w:ind w:hanging="144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2001-12-04T17:48:00Z</dcterms:created>
  <dc:creator>zpascha</dc:creator>
  <dc:description/>
  <dc:language>en-CA</dc:language>
  <cp:lastModifiedBy>zpascha</cp:lastModifiedBy>
  <cp:lastPrinted>2001-12-04T16:17:00Z</cp:lastPrinted>
  <dcterms:modified xsi:type="dcterms:W3CDTF">2001-12-04T19:49:00Z</dcterms:modified>
  <cp:revision>3</cp:revision>
  <dc:subject/>
  <dc:title>Jeanette Doll is critical and indispensable to the ability of the Rates and Tariff section to provide timely and accurate regu</dc:title>
</cp:coreProperties>
</file>