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Jason C. Williams</w:t>
      </w:r>
    </w:p>
    <w:tbl>
      <w:tblPr>
        <w:tblW w:w="95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7353"/>
      </w:tblGrid>
      <w:tr>
        <w:trPr/>
        <w:tc>
          <w:tcPr>
            <w:tcW w:w="9513" w:type="dxa"/>
            <w:gridSpan w:val="2"/>
            <w:tcBorders/>
          </w:tcPr>
          <w:p>
            <w:pPr>
              <w:pStyle w:val="SectionTitle"/>
              <w:spacing w:before="220"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1992 – 1996</w:t>
            </w:r>
          </w:p>
        </w:tc>
        <w:tc>
          <w:tcPr>
            <w:tcW w:w="7353" w:type="dxa"/>
            <w:tcBorders/>
          </w:tcPr>
          <w:p>
            <w:pPr>
              <w:pStyle w:val="CompanyName"/>
              <w:spacing w:before="2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Texas A&amp;M University                                             College Station, Texas</w:t>
            </w:r>
          </w:p>
          <w:p>
            <w:pPr>
              <w:pStyle w:val="JobTitle"/>
              <w:spacing w:before="40" w:after="4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Bachelor of Business Administration - Finance</w:t>
            </w:r>
          </w:p>
        </w:tc>
      </w:tr>
      <w:tr>
        <w:trPr/>
        <w:tc>
          <w:tcPr>
            <w:tcW w:w="9513" w:type="dxa"/>
            <w:gridSpan w:val="2"/>
            <w:tcBorders/>
          </w:tcPr>
          <w:p>
            <w:pPr>
              <w:pStyle w:val="SectionTitle"/>
              <w:spacing w:before="220"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Employment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1998 – Present     </w:t>
            </w:r>
          </w:p>
        </w:tc>
        <w:tc>
          <w:tcPr>
            <w:tcW w:w="7353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>
                <w:rFonts w:cs="Arial" w:ascii="Arial" w:hAnsi="Arial"/>
                <w:b/>
                <w:bCs/>
                <w:sz w:val="24"/>
              </w:rPr>
              <w:t>Enron North America</w:t>
            </w:r>
            <w:r>
              <w:rPr>
                <w:rFonts w:cs="Arial" w:ascii="Arial" w:hAnsi="Arial"/>
                <w:sz w:val="24"/>
              </w:rPr>
              <w:t xml:space="preserve">                                             Houston, Texas</w:t>
            </w:r>
          </w:p>
          <w:p>
            <w:pPr>
              <w:pStyle w:val="JobTitl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Natural Gas Trading</w:t>
            </w:r>
          </w:p>
          <w:p>
            <w:pPr>
              <w:pStyle w:val="JobTitle"/>
              <w:rPr>
                <w:rFonts w:ascii="Arial" w:hAnsi="Arial" w:cs="Arial"/>
                <w:i w:val="false"/>
                <w:i w:val="false"/>
                <w:iCs/>
                <w:sz w:val="24"/>
              </w:rPr>
            </w:pPr>
            <w:r>
              <w:rPr>
                <w:rFonts w:cs="Arial" w:ascii="Arial" w:hAnsi="Arial"/>
                <w:i w:val="false"/>
                <w:iCs/>
                <w:sz w:val="24"/>
              </w:rPr>
              <w:t>Current Responsibilities: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Independently manage physical and financial book containing NYMEX, basis, index and gas daily positions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Effectively hedge unwanted risk on positions as large as 700 contracts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Responsible for making financial markets via Enron Online for the NGPL, ANR, NNG and Northern Border pipelines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Utilize both technical and fundamental analysis of energy markets to effectively manage positions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Integral part of training new traders in physical and financial markets in the mid-continent region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jc w:val="star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Previous Responsibilities: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Made physical markets via Enron Online in Chicago and Michigan/Consumers and Mid-continent region market areas with volumes exceeding 2 BCF per day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Lead trader on People’s asset management deal including managing risk and optimizing transport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Acted as lead on Brooklyn Union asset management deal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Acted as lead on </w:t>
            </w:r>
            <w:r>
              <w:rPr>
                <w:rFonts w:cs="Arial" w:ascii="Arial" w:hAnsi="Arial"/>
                <w:highlight w:val="yellow"/>
              </w:rPr>
              <w:t>Boston asset</w:t>
            </w:r>
            <w:r>
              <w:rPr>
                <w:rFonts w:cs="Arial" w:ascii="Arial" w:hAnsi="Arial"/>
              </w:rPr>
              <w:t xml:space="preserve"> management deal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Lead scheduler on both Texas Eastern and TRANSCO pipelines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CompanyName"/>
              <w:tabs>
                <w:tab w:val="clear" w:pos="1440"/>
                <w:tab w:val="clear" w:pos="6480"/>
              </w:tabs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JobTitle"/>
              <w:spacing w:before="40" w:after="4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1996 – 1998        </w:t>
            </w:r>
          </w:p>
        </w:tc>
        <w:tc>
          <w:tcPr>
            <w:tcW w:w="7353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>
                <w:rFonts w:cs="Arial" w:ascii="Arial" w:hAnsi="Arial"/>
                <w:b/>
                <w:bCs/>
                <w:sz w:val="24"/>
              </w:rPr>
              <w:t>Datrek, Inc.</w:t>
            </w:r>
            <w:r>
              <w:rPr>
                <w:rFonts w:cs="Arial" w:ascii="Arial" w:hAnsi="Arial"/>
                <w:sz w:val="24"/>
              </w:rPr>
              <w:t xml:space="preserve">                                                              Houston, Texas</w:t>
            </w:r>
          </w:p>
          <w:p>
            <w:pPr>
              <w:pStyle w:val="JobTitl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Sales Representative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Independently managed south-central territory including Texas, Louisiana and Mississippi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Consistently achieved top sales each quarter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23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9360"/>
    </w:tblGrid>
    <w:tr>
      <w:trPr/>
      <w:tc>
        <w:tcPr>
          <w:tcW w:w="9360" w:type="dxa"/>
          <w:tcBorders/>
        </w:tcPr>
        <w:p>
          <w:pPr>
            <w:pStyle w:val="Address2"/>
            <w:rPr>
              <w:rFonts w:ascii="Arial" w:hAnsi="Arial" w:cs="Arial"/>
            </w:rPr>
          </w:pPr>
          <w:r>
            <w:rPr>
              <w:rFonts w:cs="Arial" w:ascii="Arial" w:hAnsi="Arial"/>
              <w:caps w:val="false"/>
              <w:smallCaps w:val="false"/>
            </w:rPr>
            <w:t>7615 Broken Oak Lane • Sugar Land, Tx 77479</w:t>
          </w:r>
        </w:p>
      </w:tc>
    </w:tr>
    <w:tr>
      <w:trPr/>
      <w:tc>
        <w:tcPr>
          <w:tcW w:w="9360" w:type="dxa"/>
          <w:tcBorders/>
          <w:tcMar>
            <w:bottom w:w="288" w:type="dxa"/>
          </w:tcMar>
        </w:tcPr>
        <w:p>
          <w:pPr>
            <w:pStyle w:val="Address1"/>
            <w:rPr>
              <w:rFonts w:ascii="Arial" w:hAnsi="Arial" w:cs="Arial"/>
            </w:rPr>
          </w:pPr>
          <w:r>
            <w:rPr>
              <w:rFonts w:cs="Arial" w:ascii="Arial" w:hAnsi="Arial"/>
              <w:caps w:val="false"/>
              <w:smallCaps w:val="false"/>
            </w:rPr>
            <w:t xml:space="preserve">Home 281-343-7880 • Cell 713-705-2073 • E-Mail </w:t>
          </w:r>
          <w:hyperlink r:id="rId1">
            <w:r>
              <w:rPr>
                <w:rStyle w:val="Hyperlink"/>
                <w:rFonts w:cs="Arial" w:ascii="Arial" w:hAnsi="Arial"/>
                <w:caps/>
              </w:rPr>
              <w:t>jason.williams</w:t>
            </w:r>
            <w:r>
              <w:rPr>
                <w:rStyle w:val="Hyperlink"/>
                <w:rFonts w:cs="Arial" w:ascii="Arial" w:hAnsi="Arial"/>
              </w:rPr>
              <w:t>@</w:t>
            </w:r>
            <w:r>
              <w:rPr>
                <w:rStyle w:val="Hyperlink"/>
                <w:rFonts w:cs="Arial" w:ascii="Arial" w:hAnsi="Arial"/>
                <w:caps/>
              </w:rPr>
              <w:t>enron.com</w:t>
            </w:r>
          </w:hyperlink>
          <w:r>
            <w:rPr>
              <w:rFonts w:cs="Arial" w:ascii="Arial" w:hAnsi="Arial"/>
              <w:caps w:val="false"/>
              <w:smallCaps w:val="false"/>
            </w:rPr>
            <w:t xml:space="preserve"> </w:t>
          </w:r>
        </w:p>
      </w:tc>
    </w:tr>
  </w:tbl>
  <w:p>
    <w:pPr>
      <w:pStyle w:val="Footer"/>
      <w:spacing w:before="220" w:after="2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jason.Williams@enron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2001-11-18T23:21:00Z</dcterms:created>
  <dc:creator>Joanna Willliams</dc:creator>
  <dc:description/>
  <dc:language>en-CA</dc:language>
  <cp:lastModifiedBy>Joanna Willliams</cp:lastModifiedBy>
  <cp:lastPrinted>2001-11-18T20:52:00Z</cp:lastPrinted>
  <dcterms:modified xsi:type="dcterms:W3CDTF">2001-11-19T00:25:00Z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