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lang w:val="en-CA" w:eastAsia="en-CA"/>
        </w:rPr>
      </w:pPr>
      <w:r>
        <w:rPr>
          <w:sz w:val="32"/>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182880</wp:posOffset>
                </wp:positionV>
                <wp:extent cx="6126480" cy="0"/>
                <wp:effectExtent l="0" t="14605" r="0" b="14605"/>
                <wp:wrapNone/>
                <wp:docPr id="1" name=""/>
                <a:graphic xmlns:a="http://schemas.openxmlformats.org/drawingml/2006/main">
                  <a:graphicData uri="http://schemas.microsoft.com/office/word/2010/wordprocessingShape">
                    <wps:wsp>
                      <wps:cNvSpPr/>
                      <wps:spPr>
                        <a:xfrm>
                          <a:off x="0" y="0"/>
                          <a:ext cx="61264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14.4pt" to="482.35pt,14.4pt" stroked="t" o:allowincell="f" style="position:absolute">
                <v:stroke color="black" weight="28440" joinstyle="miter" endcap="flat"/>
                <v:fill o:detectmouseclick="t" on="false"/>
                <w10:wrap type="none"/>
              </v:line>
            </w:pict>
          </mc:Fallback>
        </mc:AlternateContent>
      </w:r>
    </w:p>
    <w:p>
      <w:pPr>
        <w:pStyle w:val="Heading1"/>
        <w:ind w:hanging="0" w:start="0"/>
        <w:rPr>
          <w:color w:val="800000"/>
        </w:rPr>
      </w:pPr>
      <w:r>
        <w:rPr>
          <w:color w:val="800000"/>
        </w:rPr>
        <w:t>About Elliott Jaques</w:t>
      </w:r>
    </w:p>
    <w:p>
      <w:pPr>
        <w:pStyle w:val="Normal"/>
        <w:rPr>
          <w:color w:val="800000"/>
          <w:lang w:val="en-CA" w:eastAsia="en-CA"/>
        </w:rPr>
      </w:pPr>
      <w:r>
        <w:rPr>
          <w:color w:val="800000"/>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53340</wp:posOffset>
                </wp:positionV>
                <wp:extent cx="6126480" cy="0"/>
                <wp:effectExtent l="0" t="14605" r="0" b="14605"/>
                <wp:wrapNone/>
                <wp:docPr id="2" name=""/>
                <a:graphic xmlns:a="http://schemas.openxmlformats.org/drawingml/2006/main">
                  <a:graphicData uri="http://schemas.microsoft.com/office/word/2010/wordprocessingShape">
                    <wps:wsp>
                      <wps:cNvSpPr/>
                      <wps:spPr>
                        <a:xfrm>
                          <a:off x="0" y="0"/>
                          <a:ext cx="61264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4.2pt" to="482.35pt,4.2pt" stroked="t" o:allowincell="f" style="position:absolute">
                <v:stroke color="black" weight="28440" joinstyle="miter" endcap="flat"/>
                <v:fill o:detectmouseclick="t" on="false"/>
                <w10:wrap type="none"/>
              </v:line>
            </w:pict>
          </mc:Fallback>
        </mc:AlternateContent>
      </w:r>
    </w:p>
    <w:p>
      <w:pPr>
        <w:pStyle w:val="Heading1"/>
        <w:ind w:hanging="0" w:start="0"/>
        <w:rPr>
          <w:b w:val="false"/>
          <w:sz w:val="22"/>
          <w:lang w:val="en-CA" w:eastAsia="en-CA"/>
        </w:rPr>
      </w:pPr>
      <w:r>
        <w:rPr>
          <w:b w:val="false"/>
          <w:sz w:val="22"/>
          <w:lang w:val="en-CA" w:eastAsia="en-CA"/>
        </w:rPr>
        <w:drawing>
          <wp:anchor behindDoc="1" distT="0" distB="0" distL="114935" distR="182880" simplePos="0" locked="0" layoutInCell="0" allowOverlap="1" relativeHeight="2">
            <wp:simplePos x="0" y="0"/>
            <wp:positionH relativeFrom="column">
              <wp:posOffset>91440</wp:posOffset>
            </wp:positionH>
            <wp:positionV relativeFrom="paragraph">
              <wp:posOffset>184785</wp:posOffset>
            </wp:positionV>
            <wp:extent cx="1257300" cy="1714500"/>
            <wp:effectExtent l="0" t="0" r="0" b="0"/>
            <wp:wrapTight wrapText="right">
              <wp:wrapPolygon edited="0">
                <wp:start x="-163" y="0"/>
                <wp:lineTo x="-163" y="21437"/>
                <wp:lineTo x="21600" y="21437"/>
                <wp:lineTo x="21600" y="0"/>
                <wp:lineTo x="-163" y="0"/>
              </wp:wrapPolygon>
            </wp:wrapTight>
            <wp:docPr id="3" name="ej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sm" descr="" title=""/>
                    <pic:cNvPicPr>
                      <a:picLocks noChangeAspect="1" noChangeArrowheads="1"/>
                    </pic:cNvPicPr>
                  </pic:nvPicPr>
                  <pic:blipFill>
                    <a:blip r:embed="rId2"/>
                    <a:srcRect l="-29" t="-21" r="-29" b="-21"/>
                    <a:stretch>
                      <a:fillRect/>
                    </a:stretch>
                  </pic:blipFill>
                  <pic:spPr bwMode="auto">
                    <a:xfrm>
                      <a:off x="0" y="0"/>
                      <a:ext cx="1257300" cy="1714500"/>
                    </a:xfrm>
                    <a:prstGeom prst="rect">
                      <a:avLst/>
                    </a:prstGeom>
                    <a:noFill/>
                  </pic:spPr>
                </pic:pic>
              </a:graphicData>
            </a:graphic>
          </wp:anchor>
        </w:drawing>
      </w:r>
    </w:p>
    <w:p>
      <w:pPr>
        <w:pStyle w:val="BodyText"/>
        <w:rPr/>
      </w:pPr>
      <w:r>
        <w:rPr/>
        <w:t xml:space="preserve">Dr. Jaques is Visiting Research Professor in Management Science at George Washington University.  He has been engaged over the past 50 years in research and development studies in individual and social behavior, and the development of social institutions.  Throughout his career, he has continuously combined work with organizations and with individuals against the background of a B.A. Honors Science degree from the University of Toronto, an M.D. from Johns Hopkins Medical School, a Ph.D. in Social Relations from Harvard, and qualification as a psychoanalyst at the British Psychoanalytical Society.  He is a Fellow of the Royal College of Psychiatry, and Honorary Professor of the University of Buenos Aires.  </w:t>
      </w:r>
    </w:p>
    <w:p>
      <w:pPr>
        <w:pStyle w:val="Normal"/>
        <w:tabs>
          <w:tab w:val="left" w:pos="0" w:leader="none"/>
          <w:tab w:val="left" w:pos="720" w:leader="none"/>
        </w:tabs>
        <w:rPr>
          <w:rFonts w:ascii="Arial" w:hAnsi="Arial" w:cs="Arial"/>
          <w:sz w:val="22"/>
        </w:rPr>
      </w:pPr>
      <w:r>
        <w:rPr>
          <w:rFonts w:cs="Arial" w:ascii="Arial" w:hAnsi="Arial"/>
          <w:sz w:val="22"/>
        </w:rPr>
      </w:r>
    </w:p>
    <w:p>
      <w:pPr>
        <w:pStyle w:val="Normal"/>
        <w:tabs>
          <w:tab w:val="clear" w:pos="720"/>
          <w:tab w:val="left" w:pos="540" w:leader="none"/>
        </w:tabs>
        <w:rPr/>
      </w:pPr>
      <w:r>
        <w:rPr>
          <w:rFonts w:cs="Arial" w:ascii="Arial" w:hAnsi="Arial"/>
          <w:sz w:val="22"/>
        </w:rPr>
        <w:t xml:space="preserve">Jaques is the author of over 20 books, including </w:t>
      </w:r>
      <w:r>
        <w:rPr>
          <w:rFonts w:cs="Arial" w:ascii="Arial" w:hAnsi="Arial"/>
          <w:i/>
          <w:sz w:val="22"/>
        </w:rPr>
        <w:t>Requisite Organization</w:t>
      </w:r>
      <w:r>
        <w:rPr>
          <w:rFonts w:cs="Arial" w:ascii="Arial" w:hAnsi="Arial"/>
          <w:sz w:val="22"/>
        </w:rPr>
        <w:t xml:space="preserve">, 1996, </w:t>
      </w:r>
      <w:r>
        <w:rPr>
          <w:rFonts w:cs="Arial" w:ascii="Arial" w:hAnsi="Arial"/>
          <w:i/>
          <w:sz w:val="22"/>
        </w:rPr>
        <w:t>Human Capability</w:t>
      </w:r>
      <w:r>
        <w:rPr>
          <w:rFonts w:cs="Arial" w:ascii="Arial" w:hAnsi="Arial"/>
          <w:sz w:val="22"/>
        </w:rPr>
        <w:t xml:space="preserve">, 1994 (with K. Cason), and </w:t>
      </w:r>
      <w:r>
        <w:rPr>
          <w:rFonts w:cs="Arial" w:ascii="Arial" w:hAnsi="Arial"/>
          <w:i/>
          <w:sz w:val="22"/>
        </w:rPr>
        <w:t>Executive Leadership</w:t>
      </w:r>
      <w:r>
        <w:rPr>
          <w:rFonts w:cs="Arial" w:ascii="Arial" w:hAnsi="Arial"/>
          <w:sz w:val="22"/>
        </w:rPr>
        <w:t xml:space="preserve">, 1991 (with S. Clement), and has recently completed a large-scale work titled </w:t>
      </w:r>
      <w:r>
        <w:rPr>
          <w:rFonts w:cs="Arial" w:ascii="Arial" w:hAnsi="Arial"/>
          <w:i/>
          <w:sz w:val="22"/>
        </w:rPr>
        <w:t>The Life and Behavior of Living Organisms: A General Theory</w:t>
      </w:r>
      <w:r>
        <w:rPr>
          <w:rFonts w:cs="Arial" w:ascii="Arial" w:hAnsi="Arial"/>
          <w:sz w:val="22"/>
        </w:rPr>
        <w:t xml:space="preserve"> in which he is putting together the findings and conclusions from his 50 years of work.  This book will provide a true scientific foundation for the systematic study and understanding of individual and social human behavior, and the behavior of living organisms in general.  A second book soon to be published is titled </w:t>
      </w:r>
      <w:r>
        <w:rPr>
          <w:rFonts w:cs="Arial" w:ascii="Arial" w:hAnsi="Arial"/>
          <w:i/>
          <w:color w:val="000000"/>
          <w:sz w:val="22"/>
        </w:rPr>
        <w:t>Social Power and the CEO: Leadership and Trust in a Sustainable Free Enterprise Society</w:t>
      </w:r>
      <w:r>
        <w:rPr>
          <w:rFonts w:cs="Arial" w:ascii="Arial" w:hAnsi="Arial"/>
          <w:sz w:val="22"/>
        </w:rPr>
        <w:t>, and deals with the great impact of CEOs on the social health of society by the systems they use to lead their people, and how these systems can and must be improved.</w:t>
      </w:r>
    </w:p>
    <w:p>
      <w:pPr>
        <w:pStyle w:val="Normal"/>
        <w:tabs>
          <w:tab w:val="clear" w:pos="720"/>
          <w:tab w:val="left" w:pos="54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Part of this work has been concerned with the development and real life testing of a comprehensive theory-based system of organizational structure and managerial processes, including fundamental developments in our understanding of the meaning of work. This system calls for sweeping changes in approach to organizational development work and in the evaluation and development of individuals engaged in work.</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This development work has been carried out in projects in industry and commerce, in government, in social, educational and health services, in the Church of England and the U.S. Army. In this latter connection Elliott Jaques was awarded the Joint Staff Certificate of Appreciation by General Colin Powell on behalf of the Joint Chiefs of Staff of the U.S. Armed Forces for “outstanding contributions in the field of military leadership theory and instruction to all of the service departments of the United States.”</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pPr>
      <w:r>
        <w:rPr>
          <w:rFonts w:cs="Arial" w:ascii="Arial" w:hAnsi="Arial"/>
          <w:sz w:val="22"/>
        </w:rPr>
        <w:t>Jaques served as a Major in the Canadian Army Medical Corps during WWII and acted as liaison to the British Army War Office Psychiatry Division, whose members developed the War Office Selection Boards for choosing potential officers, and created the Tavistock Institute of Human Relations after the war.  He remained in England after the war to become a founding member of the Tavistock Institute but quickly found that the group dynamics approach did not accurately reflect the reality of managerial accountabilities,</w:t>
      </w:r>
      <w:r>
        <w:rPr>
          <w:rStyle w:val="FootnoteCharacters"/>
          <w:rStyle w:val="FootnoteReference"/>
          <w:rFonts w:cs="Arial" w:ascii="Arial" w:hAnsi="Arial"/>
          <w:sz w:val="22"/>
        </w:rPr>
        <w:footnoteReference w:id="2"/>
      </w:r>
      <w:r>
        <w:rPr>
          <w:rFonts w:cs="Arial" w:ascii="Arial" w:hAnsi="Arial"/>
          <w:sz w:val="22"/>
        </w:rPr>
        <w:t xml:space="preserve"> and left in 1952 to pursue his work as a psychoanalyst combined with social project work on industrial organization at the Glacier Metal Company in London.</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In 1964, he was invited to become Professor and Head of School, to develop a School of Social Sciences at the new Brunel University in London.  He built a new School of Social Sciences from scratch, with Departments of Psychology, Sociology and Social Anthropology, Economics, Social Policy, and Law, each with a full professorial head, and a total school staff of 80 academics.</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He transferred in 1970 to become Director of a new Institute of Social Sciences at Brunel University, and developed this new Institute to a staff of 25 research workers, from Assistant Professor to full Professor levels.  During this time he also led two research projects.  The first was a National Health Service Hospital Organization Research Project with a research team of 5 members which carried out research on hospital organization, resulting in two books "Hospital Organization" and "Health Services".  The second was with the Church of England, to assist with the resolution of problems of organization of the Clergy at national, diocese and parish levels.</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 xml:space="preserve">From 1979-1990, he worked on a part-time contract for US Army Research Institute for Behavioral and Social Sciences.  Special projects included two years, 1982-3, working for General Vessey, the chairman of Joint Chiefs of Staff, under the direction of General Paul Gorman, on the problem of how to improve inter-service relationships in combat.  During this period, Jaques had the opportunity to prepare an analysis of how the authority of the role of the chairman of Joint Chiefs might be clarified, and to contribute thereby to the Goldwater-Nichols Act of 1985 which redefined the role. </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During this period he also did work for General Robert Elton, (the DCSPER) and for General Thomas Mahoney (the DCSOPS) on military leadership and organization.  It was in connection with this work that he developed a new method for evaluating the potential capability of military officers that has been used for the evaluation and selection of Colonels and Lt. Colonels at the Army Staff College at Carlisle Barracks, PA, for inclusion in the small talent pool of officers being developed for eventual 3-Star and 4-Star high command.</w:t>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 xml:space="preserve">During his career, Jaques has been responsible for a series of major discoveries in the social sciences, contributing in a significant way to our understanding of human nature and social institutions. The most well known is his formulation of the mid-life crisis, but others with very significant implications include: </w:t>
      </w:r>
    </w:p>
    <w:p>
      <w:pPr>
        <w:pStyle w:val="Normal"/>
        <w:tabs>
          <w:tab w:val="left" w:pos="720" w:leader="none"/>
        </w:tabs>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 xml:space="preserve">a method for objectively measuring the complexity of work roles, that in turn made possible the discovery of the unexpected existence of universal norms of fair pay for work, which upturns our current assumptions about human greed in relation to pay; </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 xml:space="preserve">an understanding of the nature of the maturation of human potential capability throughout life from infancy through old age, that will change the basis of developmental psychology, and our approach to education; </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a method for the objective evaluation of level of human potential capability, that replaces the unreliable intelligence test methods;</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 xml:space="preserve">the detailed specifications of a range of different organizational systems for industry and commerce, public service, churches, schools and universities, hospitals, and the military, that are requisite in the sense that they provide both for efficient work and for socially healthy settings for human relationships and individual growth. </w:t>
      </w:r>
    </w:p>
    <w:p>
      <w:pPr>
        <w:pStyle w:val="Normal"/>
        <w:rPr>
          <w:rFonts w:ascii="Arial" w:hAnsi="Arial" w:cs="Arial"/>
          <w:sz w:val="22"/>
        </w:rPr>
      </w:pPr>
      <w:r>
        <w:rPr>
          <w:rFonts w:cs="Arial" w:ascii="Arial" w:hAnsi="Arial"/>
          <w:sz w:val="22"/>
        </w:rPr>
      </w:r>
    </w:p>
    <w:p>
      <w:pPr>
        <w:pStyle w:val="BodyTextIndent"/>
        <w:tabs>
          <w:tab w:val="clear" w:pos="180"/>
          <w:tab w:val="left" w:pos="720" w:leader="none"/>
        </w:tabs>
        <w:ind w:hanging="0" w:end="0"/>
        <w:rPr>
          <w:rFonts w:ascii="Arial" w:hAnsi="Arial" w:cs="Arial"/>
          <w:sz w:val="22"/>
        </w:rPr>
      </w:pPr>
      <w:r>
        <w:rPr>
          <w:rFonts w:cs="Arial" w:ascii="Arial" w:hAnsi="Arial"/>
          <w:sz w:val="22"/>
        </w:rPr>
        <w:t>These developments and many others will make a substantial contribution to the betterment of society and its values.</w:t>
      </w:r>
    </w:p>
    <w:p>
      <w:pPr>
        <w:pStyle w:val="Normal"/>
        <w:tabs>
          <w:tab w:val="clear" w:pos="720"/>
          <w:tab w:val="left" w:pos="540" w:leader="none"/>
        </w:tabs>
        <w:rPr>
          <w:rFonts w:ascii="Arial" w:hAnsi="Arial" w:cs="Arial"/>
          <w:sz w:val="22"/>
        </w:rPr>
      </w:pPr>
      <w:r>
        <w:rPr>
          <w:rFonts w:cs="Arial" w:ascii="Arial" w:hAnsi="Arial"/>
          <w:sz w:val="22"/>
        </w:rPr>
      </w:r>
    </w:p>
    <w:sectPr>
      <w:headerReference w:type="default" r:id="rId3"/>
      <w:footerReference w:type="default" r:id="rId4"/>
      <w:footnotePr>
        <w:numFmt w:val="decimal"/>
      </w:footnotePr>
      <w:type w:val="nextPage"/>
      <w:pgSz w:w="12240" w:h="15840"/>
      <w:pgMar w:left="1440" w:right="1440" w:gutter="0" w:header="720" w:top="77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 xml:space="preserve">Elliott Jaques                                             November 2000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2</w:t>
    </w:r>
    <w:r>
      <w:rPr>
        <w:rStyle w:val="PageNumber"/>
        <w:sz w:val="16"/>
        <w:rFonts w:cs="Arial" w:ascii="Arial" w:hAnsi="Arial"/>
      </w:rPr>
      <w:fldChar w:fldCharType="end"/>
    </w:r>
    <w:r>
      <w:rPr>
        <w:rStyle w:val="PageNumber"/>
        <w:rFonts w:cs="Arial" w:ascii="Arial" w:hAnsi="Arial"/>
        <w:sz w:val="16"/>
      </w:rPr>
      <w:t xml:space="preserve"> of 2                                                   GL/llm</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540" w:leader="none"/>
        </w:tabs>
        <w:spacing w:lineRule="auto" w:line="360"/>
        <w:rPr/>
      </w:pPr>
      <w:r>
        <w:rPr>
          <w:rStyle w:val="FootnoteCharacters"/>
        </w:rPr>
        <w:footnoteRef/>
      </w:r>
      <w:r>
        <w:rPr>
          <w:rFonts w:cs="Arial" w:ascii="Arial" w:hAnsi="Arial"/>
          <w:sz w:val="20"/>
        </w:rPr>
        <w:t xml:space="preserve">See “On Leaving the Tavistock Institute”. </w:t>
      </w:r>
      <w:r>
        <w:rPr>
          <w:rFonts w:cs="Arial" w:ascii="Arial" w:hAnsi="Arial"/>
          <w:sz w:val="20"/>
          <w:u w:val="single"/>
        </w:rPr>
        <w:t>Human Relations</w:t>
      </w:r>
      <w:r>
        <w:rPr>
          <w:rFonts w:cs="Arial" w:ascii="Arial" w:hAnsi="Arial"/>
          <w:sz w:val="20"/>
        </w:rPr>
        <w:t>, Vol. #51, No. 3, 1998, pp. 251-257.</w:t>
      </w:r>
    </w:p>
    <w:p>
      <w:pPr>
        <w:pStyle w:val="FootnoteText"/>
        <w:rPr>
          <w:rFonts w:ascii="Arial" w:hAnsi="Arial" w:cs="Arial"/>
          <w:sz w:val="20"/>
        </w:rPr>
      </w:pPr>
      <w:r>
        <w:rPr>
          <w:rFonts w:cs="Arial" w:ascii="Arial" w:hAnsi="Arial"/>
          <w:sz w:val="2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s>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80" w:leader="none"/>
      </w:tabs>
      <w:ind w:firstLine="90" w:start="0" w:end="0"/>
    </w:pPr>
    <w:rPr>
      <w:rFonts w:ascii="Times" w:hAnsi="Times" w:cs="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2001-08-17T14:50:00Z</dcterms:created>
  <dc:creator>Linda L. Martin</dc:creator>
  <dc:description/>
  <dc:language>en-CA</dc:language>
  <cp:lastModifiedBy>gmcdaniel</cp:lastModifiedBy>
  <cp:lastPrinted>2000-10-23T18:29:00Z</cp:lastPrinted>
  <dcterms:modified xsi:type="dcterms:W3CDTF">2001-08-17T14:50:00Z</dcterms:modified>
  <cp:revision>2</cp:revision>
  <dc:subject/>
  <dc:title>Biolographical Sketch:  Elliott Jaques</dc:title>
</cp:coreProperties>
</file>