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799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79930"/>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376342458" r:id="rId2"/>
                              </w:object>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5.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446821924" r:id="rId4"/>
                        </w:object>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b/>
                <w:bCs/>
              </w:rPr>
            </w:pPr>
            <w:r>
              <w:rPr>
                <w:rFonts w:cs="Arial" w:ascii="Arial" w:hAnsi="Arial"/>
                <w:b/>
                <w:bCs/>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Rick Buy, Greg Whalley</w:t>
            </w:r>
          </w:p>
        </w:tc>
      </w:tr>
      <w:tr>
        <w:trPr/>
        <w:tc>
          <w:tcPr>
            <w:tcW w:w="1188" w:type="dxa"/>
            <w:tcBorders/>
          </w:tcPr>
          <w:p>
            <w:pPr>
              <w:pStyle w:val="Normal"/>
              <w:spacing w:before="60" w:after="60"/>
              <w:rPr>
                <w:rFonts w:ascii="Arial" w:hAnsi="Arial" w:cs="Arial"/>
              </w:rPr>
            </w:pPr>
            <w:r>
              <w:rPr>
                <w:rFonts w:cs="Arial" w:ascii="Arial" w:hAnsi="Arial"/>
                <w:b/>
              </w:rPr>
              <w:t>CC:</w:t>
            </w:r>
          </w:p>
        </w:tc>
        <w:tc>
          <w:tcPr>
            <w:tcW w:w="7560" w:type="dxa"/>
            <w:tcBorders/>
          </w:tcPr>
          <w:p>
            <w:pPr>
              <w:pStyle w:val="From"/>
              <w:spacing w:before="0" w:after="0"/>
              <w:rPr>
                <w:rFonts w:ascii="Arial" w:hAnsi="Arial" w:cs="Arial"/>
              </w:rPr>
            </w:pPr>
            <w:bookmarkStart w:id="1" w:name="From"/>
            <w:bookmarkEnd w:id="1"/>
            <w:r>
              <w:rPr>
                <w:rFonts w:cs="Arial" w:ascii="Arial" w:hAnsi="Arial"/>
              </w:rPr>
              <w:t>Ted Murphy</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Date"/>
              <w:spacing w:before="60" w:after="60"/>
              <w:rPr>
                <w:rFonts w:ascii="Arial" w:hAnsi="Arial" w:cs="Arial"/>
              </w:rPr>
            </w:pPr>
            <w:r>
              <w:rPr>
                <w:rFonts w:cs="Arial" w:ascii="Arial" w:hAnsi="Arial"/>
              </w:rPr>
              <w:t>Joseph Hirl</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Subject"/>
              <w:spacing w:before="60" w:after="60"/>
              <w:rPr>
                <w:rFonts w:ascii="Arial" w:hAnsi="Arial" w:cs="Arial"/>
              </w:rPr>
            </w:pPr>
            <w:bookmarkStart w:id="2" w:name="Subject"/>
            <w:bookmarkEnd w:id="2"/>
            <w:r>
              <w:rPr>
                <w:rFonts w:cs="Arial" w:ascii="Arial" w:hAnsi="Arial"/>
              </w:rPr>
              <w:fldChar w:fldCharType="begin"/>
            </w:r>
            <w:r>
              <w:rPr>
                <w:rFonts w:cs="Arial" w:ascii="Arial" w:hAnsi="Arial"/>
              </w:rPr>
              <w:instrText xml:space="preserve"> DATE \@"d\ MMMM\ yyyy" </w:instrText>
            </w:r>
            <w:r>
              <w:rPr>
                <w:rFonts w:cs="Arial" w:ascii="Arial" w:hAnsi="Arial"/>
              </w:rPr>
              <w:fldChar w:fldCharType="separate"/>
            </w:r>
            <w:r>
              <w:rPr>
                <w:rFonts w:cs="Arial" w:ascii="Arial" w:hAnsi="Arial"/>
              </w:rPr>
              <w:t>28 September 2025</w:t>
            </w:r>
            <w:r>
              <w:rPr>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pPr>
            <w:r>
              <w:rPr>
                <w:rFonts w:cs="Arial" w:ascii="Arial" w:hAnsi="Arial"/>
              </w:rPr>
              <w:t xml:space="preserve">Request for Japan Power Trading Positions </w:t>
            </w:r>
            <w:r>
              <w:rPr>
                <w:rFonts w:cs="Arial" w:ascii="Arial" w:hAnsi="Arial"/>
                <w:b/>
                <w:bCs/>
              </w:rPr>
              <w:t>(DRAFT)</w:t>
            </w:r>
          </w:p>
        </w:tc>
      </w:tr>
    </w:tbl>
    <w:p>
      <w:pPr>
        <w:pStyle w:val="Normal"/>
        <w:spacing w:before="0" w:after="0"/>
        <w:rPr>
          <w:rFonts w:ascii="Arial" w:hAnsi="Arial" w:cs="Arial"/>
        </w:rPr>
      </w:pPr>
      <w:r>
        <w:rPr>
          <w:rFonts w:cs="Arial" w:ascii="Arial" w:hAnsi="Arial"/>
        </w:rPr>
      </w:r>
      <w:bookmarkStart w:id="3" w:name="StartOfMemo"/>
      <w:bookmarkStart w:id="4" w:name="StartOfMemo"/>
      <w:bookmarkEnd w:id="4"/>
    </w:p>
    <w:p>
      <w:pPr>
        <w:pStyle w:val="Header"/>
        <w:tabs>
          <w:tab w:val="clear" w:pos="4320"/>
          <w:tab w:val="clear" w:pos="8640"/>
          <w:tab w:val="clear" w:pos="9000"/>
        </w:tabs>
        <w:ind w:hanging="2700" w:start="2700" w:end="0"/>
        <w:rPr>
          <w:rFonts w:ascii="Arial" w:hAnsi="Arial" w:cs="Arial"/>
        </w:rPr>
      </w:pPr>
      <w:r>
        <w:rPr>
          <w:rFonts w:cs="Arial" w:ascii="Arial" w:hAnsi="Arial"/>
        </w:rPr>
        <w:t>Products to be traded:</w:t>
        <w:tab/>
        <w:t>Physical Japanese Electricity</w:t>
      </w:r>
    </w:p>
    <w:p>
      <w:pPr>
        <w:pStyle w:val="Header"/>
        <w:tabs>
          <w:tab w:val="clear" w:pos="4320"/>
          <w:tab w:val="clear" w:pos="8640"/>
          <w:tab w:val="clear" w:pos="9000"/>
        </w:tabs>
        <w:ind w:firstLine="180" w:start="3420" w:end="0"/>
        <w:rPr>
          <w:rFonts w:ascii="Arial" w:hAnsi="Arial" w:cs="Arial"/>
        </w:rPr>
      </w:pPr>
      <w:r>
        <w:rPr>
          <w:rFonts w:cs="Arial" w:ascii="Arial" w:hAnsi="Arial"/>
        </w:rPr>
        <w:t>Physical Peak Power</w:t>
      </w:r>
    </w:p>
    <w:p>
      <w:pPr>
        <w:pStyle w:val="Normal"/>
        <w:spacing w:before="0" w:after="0"/>
        <w:ind w:hanging="2700" w:start="2700" w:end="0"/>
        <w:rPr>
          <w:rFonts w:ascii="Arial" w:hAnsi="Arial" w:cs="Arial"/>
        </w:rPr>
      </w:pPr>
      <w:r>
        <w:rPr>
          <w:rFonts w:cs="Arial" w:ascii="Arial" w:hAnsi="Arial"/>
        </w:rPr>
        <w:tab/>
        <w:tab/>
        <w:tab/>
        <w:t>Physical Off-Peak Power</w:t>
      </w:r>
    </w:p>
    <w:p>
      <w:pPr>
        <w:pStyle w:val="Normal"/>
        <w:spacing w:before="0" w:after="0"/>
        <w:ind w:hanging="2700" w:start="2700" w:end="0"/>
        <w:rPr>
          <w:rFonts w:ascii="Arial" w:hAnsi="Arial" w:cs="Arial"/>
        </w:rPr>
      </w:pPr>
      <w:r>
        <w:rPr>
          <w:rFonts w:cs="Arial" w:ascii="Arial" w:hAnsi="Arial"/>
        </w:rPr>
        <w:tab/>
        <w:tab/>
        <w:tab/>
        <w:t>Physical Baseload Power</w:t>
      </w:r>
    </w:p>
    <w:p>
      <w:pPr>
        <w:pStyle w:val="Normal"/>
        <w:spacing w:before="0" w:after="0"/>
        <w:ind w:hanging="2700" w:start="2700" w:end="0"/>
        <w:rPr>
          <w:rFonts w:ascii="Arial" w:hAnsi="Arial" w:cs="Arial"/>
        </w:rPr>
      </w:pPr>
      <w:r>
        <w:rPr>
          <w:rFonts w:cs="Arial" w:ascii="Arial" w:hAnsi="Arial"/>
        </w:rPr>
        <w:tab/>
        <w:tab/>
        <w:tab/>
        <w:t>Physical Power Options</w:t>
      </w:r>
    </w:p>
    <w:p>
      <w:pPr>
        <w:pStyle w:val="Normal"/>
        <w:tabs>
          <w:tab w:val="clear" w:pos="720"/>
          <w:tab w:val="left" w:pos="4230" w:leader="none"/>
        </w:tabs>
        <w:spacing w:before="0" w:after="0"/>
        <w:ind w:hanging="2700" w:start="2700" w:end="0"/>
        <w:rPr>
          <w:rFonts w:ascii="Arial" w:hAnsi="Arial" w:cs="Arial"/>
        </w:rPr>
      </w:pPr>
      <w:r>
        <w:rPr>
          <w:rFonts w:cs="Arial" w:ascii="Arial" w:hAnsi="Arial"/>
        </w:rPr>
      </w:r>
    </w:p>
    <w:p>
      <w:pPr>
        <w:pStyle w:val="Header"/>
        <w:tabs>
          <w:tab w:val="clear" w:pos="4320"/>
          <w:tab w:val="clear" w:pos="8640"/>
          <w:tab w:val="clear" w:pos="9000"/>
        </w:tabs>
        <w:ind w:hanging="2700" w:start="2700" w:end="0"/>
        <w:rPr/>
      </w:pPr>
      <w:r>
        <w:rPr>
          <w:rFonts w:cs="Arial" w:ascii="Arial" w:hAnsi="Arial"/>
        </w:rPr>
        <w:t>New Books:</w:t>
        <w:tab/>
      </w:r>
      <w:r>
        <w:rPr>
          <w:rFonts w:cs="Arial" w:ascii="Arial" w:hAnsi="Arial"/>
          <w:b/>
          <w:bCs/>
        </w:rPr>
        <w:t>Japanese Power Book</w:t>
      </w:r>
    </w:p>
    <w:p>
      <w:pPr>
        <w:pStyle w:val="Normal"/>
        <w:tabs>
          <w:tab w:val="clear" w:pos="720"/>
          <w:tab w:val="left" w:pos="2880" w:leader="none"/>
        </w:tabs>
        <w:spacing w:before="0" w:after="0"/>
        <w:ind w:hanging="2700" w:start="2700" w:end="0"/>
        <w:rPr>
          <w:rFonts w:ascii="Arial" w:hAnsi="Arial" w:cs="Arial"/>
          <w:b/>
          <w:bCs/>
        </w:rPr>
      </w:pPr>
      <w:r>
        <w:rPr>
          <w:rFonts w:cs="Arial" w:ascii="Arial" w:hAnsi="Arial"/>
          <w:b/>
          <w:bCs/>
        </w:rPr>
      </w:r>
    </w:p>
    <w:p>
      <w:pPr>
        <w:pStyle w:val="Header"/>
        <w:tabs>
          <w:tab w:val="clear" w:pos="4320"/>
          <w:tab w:val="clear" w:pos="8640"/>
          <w:tab w:val="clear" w:pos="9000"/>
          <w:tab w:val="left" w:pos="5040" w:leader="none"/>
        </w:tabs>
        <w:ind w:hanging="2700" w:start="2700" w:end="0"/>
        <w:rPr>
          <w:rFonts w:ascii="Arial" w:hAnsi="Arial" w:cs="Arial"/>
        </w:rPr>
      </w:pPr>
      <w:r>
        <w:rPr>
          <w:rFonts w:cs="Arial" w:ascii="Arial" w:hAnsi="Arial"/>
        </w:rPr>
        <w:t>Responsibilities:</w:t>
        <w:tab/>
        <w:t>Trading:</w:t>
        <w:tab/>
        <w:t>Jonathan Whitehead</w:t>
      </w:r>
    </w:p>
    <w:p>
      <w:pPr>
        <w:pStyle w:val="Normal"/>
        <w:tabs>
          <w:tab w:val="clear" w:pos="720"/>
          <w:tab w:val="left" w:pos="2880" w:leader="none"/>
          <w:tab w:val="left" w:pos="5040" w:leader="none"/>
        </w:tabs>
        <w:spacing w:before="0" w:after="0"/>
        <w:ind w:hanging="2700" w:start="2700" w:end="0"/>
        <w:rPr>
          <w:rFonts w:ascii="Arial" w:hAnsi="Arial" w:cs="Arial"/>
        </w:rPr>
      </w:pPr>
      <w:r>
        <w:rPr>
          <w:rFonts w:cs="Arial" w:ascii="Arial" w:hAnsi="Arial"/>
        </w:rPr>
        <w:tab/>
        <w:tab/>
        <w:tab/>
        <w:t>Morten Erik Pettersen</w:t>
      </w:r>
    </w:p>
    <w:p>
      <w:pPr>
        <w:pStyle w:val="Header"/>
        <w:tabs>
          <w:tab w:val="clear" w:pos="4320"/>
          <w:tab w:val="clear" w:pos="8640"/>
          <w:tab w:val="clear" w:pos="9000"/>
          <w:tab w:val="left" w:pos="5040" w:leader="none"/>
          <w:tab w:val="left" w:pos="5760" w:leader="none"/>
        </w:tabs>
        <w:ind w:hanging="2700" w:start="2700" w:end="0"/>
        <w:rPr>
          <w:rFonts w:ascii="Arial" w:hAnsi="Arial" w:cs="Arial"/>
        </w:rPr>
      </w:pPr>
      <w:r>
        <w:rPr>
          <w:rFonts w:cs="Arial" w:ascii="Arial" w:hAnsi="Arial"/>
        </w:rPr>
        <w:tab/>
        <w:t>Trading Operations:</w:t>
        <w:tab/>
        <w:t>Sally Beck, Jan-Erland Bekeng</w:t>
      </w:r>
    </w:p>
    <w:p>
      <w:pPr>
        <w:pStyle w:val="Normal"/>
        <w:tabs>
          <w:tab w:val="clear" w:pos="720"/>
          <w:tab w:val="left" w:pos="5040" w:leader="none"/>
          <w:tab w:val="left" w:pos="5760" w:leader="none"/>
        </w:tabs>
        <w:spacing w:before="0" w:after="0"/>
        <w:ind w:hanging="2700" w:start="2700" w:end="0"/>
        <w:rPr>
          <w:rFonts w:ascii="Arial" w:hAnsi="Arial" w:cs="Arial"/>
        </w:rPr>
      </w:pPr>
      <w:r>
        <w:rPr>
          <w:rFonts w:cs="Arial" w:ascii="Arial" w:hAnsi="Arial"/>
        </w:rPr>
        <w:tab/>
        <w:t>Legal</w:t>
        <w:tab/>
        <w:t>Alan Aronowitz</w:t>
      </w:r>
    </w:p>
    <w:p>
      <w:pPr>
        <w:pStyle w:val="Normal"/>
        <w:tabs>
          <w:tab w:val="clear" w:pos="720"/>
          <w:tab w:val="left" w:pos="5040" w:leader="none"/>
          <w:tab w:val="left" w:pos="5760" w:leader="none"/>
        </w:tabs>
        <w:spacing w:before="0" w:after="0"/>
        <w:ind w:hanging="2700" w:start="2700" w:end="0"/>
        <w:rPr>
          <w:rFonts w:ascii="Arial" w:hAnsi="Arial" w:cs="Arial"/>
        </w:rPr>
      </w:pPr>
      <w:r>
        <w:rPr>
          <w:rFonts w:cs="Arial" w:ascii="Arial" w:hAnsi="Arial"/>
        </w:rPr>
        <w:tab/>
        <w:t>Credit</w:t>
        <w:tab/>
        <w:t>Bill Bradford, Tracey Ngo</w:t>
      </w:r>
    </w:p>
    <w:p>
      <w:pPr>
        <w:pStyle w:val="Normal"/>
        <w:tabs>
          <w:tab w:val="clear" w:pos="720"/>
          <w:tab w:val="left" w:pos="5040" w:leader="none"/>
          <w:tab w:val="left" w:pos="5760" w:leader="none"/>
        </w:tabs>
        <w:spacing w:before="0" w:after="0"/>
        <w:ind w:hanging="2700" w:start="2700" w:end="0"/>
        <w:rPr>
          <w:rFonts w:ascii="Arial" w:hAnsi="Arial" w:cs="Arial"/>
        </w:rPr>
      </w:pPr>
      <w:r>
        <w:rPr>
          <w:rFonts w:cs="Arial" w:ascii="Arial" w:hAnsi="Arial"/>
        </w:rPr>
        <w:tab/>
        <w:t>Tax</w:t>
        <w:tab/>
        <w:t>Susan Musch</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r>
        <w:br w:type="page"/>
      </w:r>
    </w:p>
    <w:p>
      <w:pPr>
        <w:pStyle w:val="BodyTextIndent"/>
        <w:tabs>
          <w:tab w:val="clear" w:pos="2880"/>
          <w:tab w:val="left" w:pos="5760" w:leader="none"/>
        </w:tabs>
        <w:ind w:hanging="2700" w:start="2700" w:end="0"/>
        <w:rPr/>
      </w:pPr>
      <w:r>
        <w:rPr/>
        <w:t>Target Markets</w:t>
        <w:tab/>
        <w:t>The recent Japanese electricity market deregulation now offers Enron the opportunity to participate in the world’s second largest electricity market (total size: 926 Twh; currently contestable: 219 Twh).  From March 2000, all Japanese electricity customers with demand greater than 2 Mw and connected to the Extra High Voltage Grid are now contestable.  This effectively opens approximately 24% of the total market thereby allowing 8300 industrials and large commercial customers the right to choose their supplier.</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The prime motivation behind the liberalization is the government’s interest in making Japanese industry more competitive in world markets.  Currently the average Japanese industrial electricity rate is &gt;50% higher than for German industrials.  Further market liberalization is expected, but not yet mandated.</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 xml:space="preserve">As the market today is physical, Enron would expect to enter into physical bilateral trades with a wide range of counterparties.  These counterparties would include electric utilities, wholesale suppliers, self-generators, and the newly contestable customers.  Other “non-traditional” companies are also expected to participate in the market including telecoms, trading houses, gas utilities, and other international players including Shell and Vivendi.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As the market is only recently liberalized, most customers and utilities are still accustomed to transactions of at least one year in length.  Enron would expect this trend to continue in the near term until customers become more aware of available options.  The need for a short-term market, however, has been foreseen by the utilities and they have just recently announced the creation of spot market for electricity.  There is also a move by APX to create a non-mandated electricity exchange.  This effort is still at the investor stage.  Separately there is sufficient talk on the development of market indices and ultimately a swaps market.  There is a strong possibility that the beginnings of a financial market could be seen as early as next year.</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 xml:space="preserve">The Ministry for International Trade &amp; Industry (MITI) will regulate the market and ensure equal access to the transmission system, a means to handle disputes and together with the Japanese Fair Trade Commission, monitor for anti-competitive behavior.  In order to facilitate the development of the market, MITI has mandated that utilities post wheeling and ancillary service charges as well as a process to gain access to the transmission system.  Enron is currently finalizing the requirements necessary to receive a license as a Special Scale Electric Utility Business (SSEUB) from MITI.  This license will allow Enron to enter into physical electricity transactions and gain access to the transmission system.  The license is expected to be granted by mid May.  </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Back Office Operations:</w:t>
        <w:tab/>
        <w:t>Jan Erland Bekeng in cooperation with Sally Beck will look to establish the local risk books in Tokyo and define any system modifications necessary given the characteristics of the Japanese electricity market.  Enron Japan will handle trade capture and risk management while confirmations and settlements will occur in Houston under Sally Beck’s supervision.  IT support and system modification will be overseen by Anthony Dayao and performed in Houston.</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Legal Support:</w:t>
        <w:tab/>
        <w:t>Legal support and oversight is being supervised by Houston-based attorney, Alan Aronowitz.  Additionally, Enron has engaged the local firm, Baker &amp; McKensie, to provide local support and insight.  This firm is actively working with Alan Aronowitz on assignments ranging from local due diligence and office leases to the development of master purchase/sale contracts and wheeling agreements.</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Enron’s Role/Value</w:t>
        <w:tab/>
        <w:t xml:space="preserve">During the early stages of market entry, Enron will seek to take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Proposition:</w:t>
        <w:tab/>
        <w:t xml:space="preserve">advantage of price disparities and inefficiencies that exist in the developing inter and intra regional baseload, peak/offpeak and ancillary services markets.  To facilitate early deal flow and learn the market, Enron will initially transact with the utilities and new customers using fairly simple products and relatively smaller volumes.  This would involve the purchase and sale of physical power within and between the nine different utility regions.  Enron would also evaluate the limited purchase of options and flexibility from market incumbents and new participants as a means to further develop the overall portfolio.  With increased trading volume and market liquidity, Enron will seek to further develop the book and increase the sophistication of its products and services across the different market segments.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 xml:space="preserve">Our analysis to date indicates a market that is substantially long capacity in the offpeak, but with an ever increasing tightness in the peak driven by greater retail air conditioning penetration.  There also exists a fair amount of uncertainty as to when industrial demand might rebound and consequently the need for additional generation capacity.  These basic characteristics will lay the groundwork for a fairly uncertain supply demand balance in the near future.  Enron, as in other markets, will see its primary role as providing risk management services to the market as the risks become apparent to the generation and consumer segments.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Enron also plans to fully utilize its in-house technologies and decision models developed in other international electricity markets.  The expatriate team assembled has substantial experience across numerous energy and financial markets that are at varying levels of development, sophistication and liquidity.  This experience will give Enron a real advantage in its approach to the market, product offerings and analysis and management of risk.</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The target markets historically have shown the following characteristics:</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numPr>
          <w:ilvl w:val="0"/>
          <w:numId w:val="3"/>
        </w:numPr>
        <w:tabs>
          <w:tab w:val="clear" w:pos="720"/>
          <w:tab w:val="left" w:pos="2880" w:leader="none"/>
          <w:tab w:val="left" w:pos="5760" w:leader="none"/>
        </w:tabs>
        <w:spacing w:before="0" w:after="0"/>
        <w:rPr>
          <w:rFonts w:ascii="Arial" w:hAnsi="Arial" w:cs="Arial"/>
        </w:rPr>
      </w:pPr>
      <w:r>
        <w:rPr>
          <w:rFonts w:cs="Arial" w:ascii="Arial" w:hAnsi="Arial"/>
        </w:rPr>
        <w:t>Monopolistic price premiums and non-transparent pricing systems for bundled generation, transmission and distribution</w:t>
      </w:r>
    </w:p>
    <w:p>
      <w:pPr>
        <w:pStyle w:val="Normal"/>
        <w:numPr>
          <w:ilvl w:val="0"/>
          <w:numId w:val="3"/>
        </w:numPr>
        <w:tabs>
          <w:tab w:val="clear" w:pos="720"/>
          <w:tab w:val="left" w:pos="2880" w:leader="none"/>
          <w:tab w:val="left" w:pos="5760" w:leader="none"/>
        </w:tabs>
        <w:spacing w:before="0" w:after="0"/>
        <w:rPr>
          <w:rFonts w:ascii="Arial" w:hAnsi="Arial" w:cs="Arial"/>
        </w:rPr>
      </w:pPr>
      <w:r>
        <w:rPr>
          <w:rFonts w:cs="Arial" w:ascii="Arial" w:hAnsi="Arial"/>
        </w:rPr>
        <w:t>Generation and asset-dominated cultures</w:t>
      </w:r>
    </w:p>
    <w:p>
      <w:pPr>
        <w:pStyle w:val="Normal"/>
        <w:numPr>
          <w:ilvl w:val="0"/>
          <w:numId w:val="3"/>
        </w:numPr>
        <w:tabs>
          <w:tab w:val="clear" w:pos="720"/>
          <w:tab w:val="left" w:pos="2880" w:leader="none"/>
          <w:tab w:val="left" w:pos="5760" w:leader="none"/>
        </w:tabs>
        <w:spacing w:before="0" w:after="0"/>
        <w:rPr>
          <w:rFonts w:ascii="Arial" w:hAnsi="Arial" w:cs="Arial"/>
        </w:rPr>
      </w:pPr>
      <w:r>
        <w:rPr>
          <w:rFonts w:cs="Arial" w:ascii="Arial" w:hAnsi="Arial"/>
        </w:rPr>
        <w:t>Physical market only, long term bilateral contracts between producers and consumers</w:t>
      </w:r>
    </w:p>
    <w:p>
      <w:pPr>
        <w:pStyle w:val="Normal"/>
        <w:numPr>
          <w:ilvl w:val="0"/>
          <w:numId w:val="3"/>
        </w:numPr>
        <w:tabs>
          <w:tab w:val="clear" w:pos="720"/>
          <w:tab w:val="left" w:pos="2880" w:leader="none"/>
          <w:tab w:val="left" w:pos="5760" w:leader="none"/>
        </w:tabs>
        <w:spacing w:before="0" w:after="0"/>
        <w:rPr>
          <w:rFonts w:ascii="Arial" w:hAnsi="Arial" w:cs="Arial"/>
        </w:rPr>
      </w:pPr>
      <w:r>
        <w:rPr>
          <w:rFonts w:cs="Arial" w:ascii="Arial" w:hAnsi="Arial"/>
        </w:rPr>
        <w:t>Payment in kind, as well as cash settled transactions, among the large utilities</w:t>
      </w:r>
    </w:p>
    <w:p>
      <w:pPr>
        <w:pStyle w:val="Normal"/>
        <w:numPr>
          <w:ilvl w:val="0"/>
          <w:numId w:val="3"/>
        </w:numPr>
        <w:tabs>
          <w:tab w:val="clear" w:pos="720"/>
          <w:tab w:val="left" w:pos="2880" w:leader="none"/>
          <w:tab w:val="left" w:pos="5760" w:leader="none"/>
        </w:tabs>
        <w:spacing w:before="0" w:after="0"/>
        <w:rPr>
          <w:rFonts w:ascii="Arial" w:hAnsi="Arial" w:cs="Arial"/>
        </w:rPr>
      </w:pPr>
      <w:r>
        <w:rPr>
          <w:rFonts w:cs="Arial" w:ascii="Arial" w:hAnsi="Arial"/>
        </w:rPr>
        <w:t>Legislated prices</w:t>
      </w:r>
    </w:p>
    <w:p>
      <w:pPr>
        <w:pStyle w:val="Normal"/>
        <w:tabs>
          <w:tab w:val="clear" w:pos="720"/>
          <w:tab w:val="left" w:pos="2880" w:leader="none"/>
          <w:tab w:val="left" w:pos="5760" w:leader="none"/>
        </w:tabs>
        <w:spacing w:before="0" w:after="0"/>
        <w:rPr>
          <w:rFonts w:ascii="Arial" w:hAnsi="Arial" w:cs="Arial"/>
        </w:rPr>
      </w:pPr>
      <w:r>
        <w:rPr>
          <w:rFonts w:cs="Arial" w:ascii="Arial" w:hAnsi="Arial"/>
        </w:rPr>
      </w:r>
    </w:p>
    <w:p>
      <w:pPr>
        <w:pStyle w:val="BodyTextIndent3"/>
        <w:rPr/>
      </w:pPr>
      <w:r>
        <w:rPr/>
        <w:tab/>
        <w:t>The target markets are increasingly showing the following characteristics:</w:t>
      </w:r>
    </w:p>
    <w:p>
      <w:pPr>
        <w:pStyle w:val="Normal"/>
        <w:tabs>
          <w:tab w:val="clear" w:pos="720"/>
          <w:tab w:val="left" w:pos="2880" w:leader="none"/>
          <w:tab w:val="left" w:pos="5760" w:leader="none"/>
        </w:tabs>
        <w:spacing w:before="0" w:after="0"/>
        <w:ind w:hanging="2790" w:start="2790" w:end="0"/>
        <w:rPr>
          <w:rFonts w:ascii="Arial" w:hAnsi="Arial" w:cs="Arial"/>
        </w:rPr>
      </w:pPr>
      <w:r>
        <w:rPr>
          <w:rFonts w:cs="Arial" w:ascii="Arial" w:hAnsi="Arial"/>
        </w:rPr>
      </w:r>
    </w:p>
    <w:p>
      <w:pPr>
        <w:pStyle w:val="Normal"/>
        <w:numPr>
          <w:ilvl w:val="0"/>
          <w:numId w:val="2"/>
        </w:numPr>
        <w:tabs>
          <w:tab w:val="clear" w:pos="720"/>
          <w:tab w:val="left" w:pos="2880" w:leader="none"/>
          <w:tab w:val="left" w:pos="5760" w:leader="none"/>
        </w:tabs>
        <w:spacing w:before="0" w:after="0"/>
        <w:rPr>
          <w:rFonts w:ascii="Arial" w:hAnsi="Arial" w:cs="Arial"/>
        </w:rPr>
      </w:pPr>
      <w:r>
        <w:rPr>
          <w:rFonts w:cs="Arial" w:ascii="Arial" w:hAnsi="Arial"/>
        </w:rPr>
        <w:t>Legislation that mandates the creation of an electricity market for newly contestable large consumers and wholesale participants as well as third party access to the transmission system</w:t>
      </w:r>
    </w:p>
    <w:p>
      <w:pPr>
        <w:pStyle w:val="Normal"/>
        <w:numPr>
          <w:ilvl w:val="0"/>
          <w:numId w:val="2"/>
        </w:numPr>
        <w:tabs>
          <w:tab w:val="clear" w:pos="720"/>
          <w:tab w:val="left" w:pos="2880" w:leader="none"/>
          <w:tab w:val="left" w:pos="5760" w:leader="none"/>
        </w:tabs>
        <w:spacing w:before="0" w:after="0"/>
        <w:rPr>
          <w:rFonts w:ascii="Arial" w:hAnsi="Arial" w:cs="Arial"/>
        </w:rPr>
      </w:pPr>
      <w:r>
        <w:rPr>
          <w:rFonts w:cs="Arial" w:ascii="Arial" w:hAnsi="Arial"/>
        </w:rPr>
        <w:t>Strong interest by the regulator, MITI, to welcome and provide the necessary foundation for the entry of foreign participants in the market</w:t>
      </w:r>
    </w:p>
    <w:p>
      <w:pPr>
        <w:pStyle w:val="Normal"/>
        <w:numPr>
          <w:ilvl w:val="0"/>
          <w:numId w:val="2"/>
        </w:numPr>
        <w:tabs>
          <w:tab w:val="clear" w:pos="720"/>
          <w:tab w:val="left" w:pos="2880" w:leader="none"/>
          <w:tab w:val="left" w:pos="5760" w:leader="none"/>
        </w:tabs>
        <w:spacing w:before="0" w:after="0"/>
        <w:rPr>
          <w:rFonts w:ascii="Arial" w:hAnsi="Arial" w:cs="Arial"/>
        </w:rPr>
      </w:pPr>
      <w:r>
        <w:rPr>
          <w:rFonts w:cs="Arial" w:ascii="Arial" w:hAnsi="Arial"/>
        </w:rPr>
        <w:t>With the highest electricity prices in the world, a strong interest by consumers to seek lower cost and more flexible electricity service from non-traditional companies</w:t>
      </w:r>
    </w:p>
    <w:p>
      <w:pPr>
        <w:pStyle w:val="Normal"/>
        <w:tabs>
          <w:tab w:val="clear" w:pos="720"/>
          <w:tab w:val="left" w:pos="2880" w:leader="none"/>
          <w:tab w:val="left" w:pos="5760" w:leader="none"/>
        </w:tabs>
        <w:spacing w:before="0" w:after="0"/>
        <w:ind w:start="315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Current Deals in Place:</w:t>
        <w:tab/>
        <w:t>None</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Risk Management Limits</w:t>
        <w:tab/>
        <w:t>Net Open Position</w:t>
        <w:tab/>
        <w:t>4 Twh</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For New Books</w:t>
        <w:tab/>
        <w:t>Maturity Gap</w:t>
        <w:tab/>
        <w:t>6 Twh</w:t>
      </w:r>
    </w:p>
    <w:p>
      <w:pPr>
        <w:pStyle w:val="Normal"/>
        <w:autoSpaceDE w:val="false"/>
        <w:spacing w:lineRule="atLeast" w:line="240" w:before="0" w:after="0"/>
        <w:ind w:hanging="2700" w:start="2700" w:end="0"/>
        <w:rPr/>
      </w:pPr>
      <w:r>
        <w:rPr>
          <w:rFonts w:cs="Arial" w:ascii="Arial" w:hAnsi="Arial"/>
        </w:rPr>
        <w:tab/>
      </w:r>
      <w:hyperlink r:id="rId6">
        <w:r>
          <w:rPr>
            <w:rStyle w:val="Hyperlink"/>
            <w:rFonts w:cs="Arial" w:ascii="Arial" w:hAnsi="Arial"/>
          </w:rPr>
          <w:t>V@R</w:t>
        </w:r>
      </w:hyperlink>
      <w:r>
        <w:rPr>
          <w:rFonts w:cs="Arial" w:ascii="Arial" w:hAnsi="Arial"/>
        </w:rPr>
        <w:tab/>
        <w:tab/>
        <w:tab/>
        <w:t>$US 4.0 MM</w:t>
      </w:r>
    </w:p>
    <w:p>
      <w:pPr>
        <w:pStyle w:val="Normal"/>
        <w:autoSpaceDE w:val="false"/>
        <w:spacing w:lineRule="atLeast" w:line="240" w:before="0" w:after="0"/>
        <w:ind w:hanging="2700" w:start="2700" w:end="0"/>
        <w:rPr/>
      </w:pPr>
      <w:r>
        <w:rPr>
          <w:rFonts w:cs="Arial" w:ascii="Arial" w:hAnsi="Arial"/>
        </w:rPr>
        <w:tab/>
      </w:r>
      <w:r>
        <w:rPr>
          <w:rFonts w:cs="Arial" w:ascii="Arial" w:hAnsi="Arial"/>
          <w:color w:val="000000"/>
        </w:rPr>
        <w:t>1 Day Loss Limit</w:t>
        <w:tab/>
        <w:tab/>
        <w:t>50% of V@R</w:t>
      </w:r>
    </w:p>
    <w:p>
      <w:pPr>
        <w:pStyle w:val="Normal"/>
        <w:tabs>
          <w:tab w:val="clear" w:pos="720"/>
          <w:tab w:val="left" w:pos="2880" w:leader="none"/>
        </w:tabs>
        <w:spacing w:before="0" w:after="0"/>
        <w:ind w:hanging="2700" w:start="2700" w:end="0"/>
        <w:rPr/>
      </w:pPr>
      <w:r>
        <w:rPr>
          <w:rFonts w:cs="Arial" w:ascii="Arial" w:hAnsi="Arial"/>
          <w:color w:val="000000"/>
        </w:rPr>
        <w:tab/>
        <w:t>5 Day Loss Limit</w:t>
        <w:tab/>
        <w:tab/>
        <w:t xml:space="preserve">75% of </w:t>
      </w:r>
      <w:hyperlink r:id="rId7">
        <w:r>
          <w:rPr>
            <w:rStyle w:val="Hyperlink"/>
            <w:rFonts w:cs="Arial" w:ascii="Arial" w:hAnsi="Arial"/>
          </w:rPr>
          <w:t>V@R</w:t>
        </w:r>
      </w:hyperlink>
    </w:p>
    <w:sectPr>
      <w:headerReference w:type="default" r:id="rId8"/>
      <w:headerReference w:type="first" r:id="rId9"/>
      <w:footerReference w:type="default" r:id="rId10"/>
      <w:footerReference w:type="first" r:id="rId11"/>
      <w:type w:val="nextPage"/>
      <w:pgSz w:w="12240" w:h="15840"/>
      <w:pgMar w:left="1800" w:right="1800" w:gutter="0" w:header="720" w:top="1296"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April 14, 2000</w:t>
    </w:r>
  </w:p>
  <w:p>
    <w:pPr>
      <w:pStyle w:val="Header"/>
      <w:jc w:val="end"/>
      <w:rPr>
        <w:rFonts w:ascii="Arial" w:hAnsi="Arial" w:cs="Arial"/>
      </w:rPr>
    </w:pPr>
    <w:r>
      <w:rPr>
        <w:rFonts w:cs="Arial" w:ascii="Arial" w:hAnsi="Arial"/>
      </w:rPr>
      <w:tab/>
    </w:r>
  </w:p>
  <w:p>
    <w:pPr>
      <w:pStyle w:val="Header"/>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510"/>
        </w:tabs>
        <w:ind w:start="3510" w:hanging="360"/>
      </w:pPr>
      <w:rPr>
        <w:rFonts w:ascii="Symbol" w:hAnsi="Symbol" w:cs="Symbol" w:hint="default"/>
      </w:rPr>
    </w:lvl>
  </w:abstractNum>
  <w:abstractNum w:abstractNumId="3">
    <w:lvl w:ilvl="0">
      <w:start w:val="1"/>
      <w:numFmt w:val="bullet"/>
      <w:lvlText w:val=""/>
      <w:lvlJc w:val="start"/>
      <w:pPr>
        <w:tabs>
          <w:tab w:val="num" w:pos="3420"/>
        </w:tabs>
        <w:ind w:start="34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spacing w:before="0" w:after="0"/>
      <w:outlineLvl w:val="3"/>
    </w:pPr>
    <w:rPr>
      <w:i/>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2">
    <w:name w:val="Body Text 2"/>
    <w:basedOn w:val="Normal"/>
    <w:qFormat/>
    <w:pPr>
      <w:spacing w:before="0" w:after="0"/>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 w:val="left" w:pos="5760" w:leader="none"/>
      </w:tabs>
      <w:spacing w:before="0" w:after="0"/>
      <w:ind w:hanging="2880" w:start="2880" w:end="0"/>
    </w:pPr>
    <w:rPr>
      <w:rFonts w:ascii="Arial" w:hAnsi="Arial" w:cs="Arial"/>
      <w:color w:val="000000"/>
    </w:rPr>
  </w:style>
  <w:style w:type="paragraph" w:styleId="BodyTextIndent2">
    <w:name w:val="Body Text Indent 2"/>
    <w:basedOn w:val="Normal"/>
    <w:qFormat/>
    <w:pPr>
      <w:tabs>
        <w:tab w:val="clear" w:pos="720"/>
        <w:tab w:val="left" w:pos="2880" w:leader="none"/>
        <w:tab w:val="left" w:pos="5760" w:leader="none"/>
      </w:tabs>
      <w:spacing w:before="0" w:after="0"/>
      <w:ind w:hanging="2700" w:start="2700" w:end="0"/>
    </w:pPr>
    <w:rPr>
      <w:rFonts w:ascii="Arial" w:hAnsi="Arial" w:cs="Arial"/>
    </w:rPr>
  </w:style>
  <w:style w:type="paragraph" w:styleId="BodyTextIndent3">
    <w:name w:val="Body Text Indent 3"/>
    <w:basedOn w:val="Normal"/>
    <w:qFormat/>
    <w:pPr>
      <w:tabs>
        <w:tab w:val="clear" w:pos="720"/>
        <w:tab w:val="left" w:pos="2880" w:leader="none"/>
        <w:tab w:val="left" w:pos="5760" w:leader="none"/>
      </w:tabs>
      <w:spacing w:before="0" w:after="0"/>
      <w:ind w:hanging="2790" w:start="2790" w:end="0"/>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yperlink" Target="mailto:V@R" TargetMode="External"/><Relationship Id="rId7" Type="http://schemas.openxmlformats.org/officeDocument/2006/relationships/hyperlink" Target="mailto:V@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Eimemo.dot</Template>
  <TotalTime>389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2000-04-18T08:10:00Z</dcterms:created>
  <dc:creator>EDC</dc:creator>
  <dc:description/>
  <dc:language>en-CA</dc:language>
  <cp:lastModifiedBy>ENRON</cp:lastModifiedBy>
  <cp:lastPrinted>2000-04-18T20:28:00Z</cp:lastPrinted>
  <dcterms:modified xsi:type="dcterms:W3CDTF">2000-04-19T06:29:00Z</dcterms:modified>
  <cp:revision>3</cp:revision>
  <dc:subject/>
  <dc:title>Enron International Memo</dc:title>
</cp:coreProperties>
</file>