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Japanese Government Regulatory Profile: Telecommunication and IT</w:t>
      </w:r>
    </w:p>
    <w:p>
      <w:pPr>
        <w:pStyle w:val="Normal"/>
        <w:rPr>
          <w:sz w:val="24"/>
        </w:rPr>
      </w:pPr>
      <w:r>
        <w:rPr>
          <w:sz w:val="24"/>
        </w:rPr>
      </w:r>
    </w:p>
    <w:p>
      <w:pPr>
        <w:pStyle w:val="Normal"/>
        <w:numPr>
          <w:ilvl w:val="0"/>
          <w:numId w:val="9"/>
        </w:numPr>
        <w:rPr>
          <w:b/>
        </w:rPr>
      </w:pPr>
      <w:r>
        <w:rPr>
          <w:b/>
        </w:rPr>
        <w:t>History of Deregulation</w:t>
      </w:r>
    </w:p>
    <w:p>
      <w:pPr>
        <w:pStyle w:val="Normal"/>
        <w:rPr>
          <w:b/>
        </w:rPr>
      </w:pPr>
      <w:r>
        <w:rPr>
          <w:b/>
        </w:rPr>
      </w:r>
    </w:p>
    <w:p>
      <w:pPr>
        <w:pStyle w:val="Normal"/>
        <w:numPr>
          <w:ilvl w:val="1"/>
          <w:numId w:val="9"/>
        </w:numPr>
        <w:ind w:hanging="0" w:start="360" w:end="0"/>
        <w:rPr/>
      </w:pPr>
      <w:r>
        <w:rPr/>
        <w:t>First Info-Communication Reform –1985</w:t>
      </w:r>
    </w:p>
    <w:p>
      <w:pPr>
        <w:pStyle w:val="Normal"/>
        <w:rPr/>
      </w:pPr>
      <w:r>
        <w:rPr/>
      </w:r>
    </w:p>
    <w:p>
      <w:pPr>
        <w:pStyle w:val="Normal"/>
        <w:numPr>
          <w:ilvl w:val="1"/>
          <w:numId w:val="7"/>
        </w:numPr>
        <w:tabs>
          <w:tab w:val="clear" w:pos="720"/>
          <w:tab w:val="left" w:pos="1260" w:leader="none"/>
        </w:tabs>
        <w:ind w:hanging="540" w:start="1260" w:end="0"/>
        <w:rPr/>
      </w:pPr>
      <w:r>
        <w:rPr/>
        <w:t>Partial privatization of NTT and KDD, the government-owned domestic and international monopolies.</w:t>
      </w:r>
    </w:p>
    <w:p>
      <w:pPr>
        <w:pStyle w:val="Normal"/>
        <w:rPr/>
      </w:pPr>
      <w:r>
        <w:rPr/>
      </w:r>
    </w:p>
    <w:p>
      <w:pPr>
        <w:pStyle w:val="Normal"/>
        <w:numPr>
          <w:ilvl w:val="1"/>
          <w:numId w:val="7"/>
        </w:numPr>
        <w:tabs>
          <w:tab w:val="clear" w:pos="720"/>
          <w:tab w:val="left" w:pos="1260" w:leader="none"/>
        </w:tabs>
        <w:ind w:hanging="540" w:start="1260" w:end="0"/>
        <w:rPr/>
      </w:pPr>
      <w:r>
        <w:rPr/>
        <w:t>Telecommunications Business Law – opened the common carrier and all other telecommunications services markets to private companies.</w:t>
      </w:r>
    </w:p>
    <w:p>
      <w:pPr>
        <w:pStyle w:val="Normal"/>
        <w:rPr/>
      </w:pPr>
      <w:r>
        <w:rPr/>
      </w:r>
    </w:p>
    <w:p>
      <w:pPr>
        <w:pStyle w:val="Normal"/>
        <w:numPr>
          <w:ilvl w:val="1"/>
          <w:numId w:val="7"/>
        </w:numPr>
        <w:tabs>
          <w:tab w:val="clear" w:pos="720"/>
          <w:tab w:val="left" w:pos="1260" w:leader="none"/>
        </w:tabs>
        <w:ind w:hanging="540" w:start="1260" w:end="0"/>
        <w:rPr/>
      </w:pPr>
      <w:r>
        <w:rPr/>
        <w:t>News carriers were formed to compete against NTT in the domestic long-distance and in the international market.</w:t>
      </w:r>
    </w:p>
    <w:p>
      <w:pPr>
        <w:pStyle w:val="Normal"/>
        <w:rPr/>
      </w:pPr>
      <w:r>
        <w:rPr/>
      </w:r>
    </w:p>
    <w:p>
      <w:pPr>
        <w:pStyle w:val="Normal"/>
        <w:numPr>
          <w:ilvl w:val="1"/>
          <w:numId w:val="7"/>
        </w:numPr>
        <w:tabs>
          <w:tab w:val="clear" w:pos="720"/>
          <w:tab w:val="left" w:pos="1260" w:leader="none"/>
        </w:tabs>
        <w:ind w:hanging="540" w:start="1260" w:end="0"/>
        <w:rPr/>
      </w:pPr>
      <w:r>
        <w:rPr/>
        <w:t xml:space="preserve">Real competition developed in the value added service area – over 7000 service operators (CATV, ISPs). </w:t>
      </w:r>
    </w:p>
    <w:p>
      <w:pPr>
        <w:pStyle w:val="Normal"/>
        <w:rPr/>
      </w:pPr>
      <w:r>
        <w:rPr/>
      </w:r>
    </w:p>
    <w:p>
      <w:pPr>
        <w:pStyle w:val="Normal"/>
        <w:numPr>
          <w:ilvl w:val="1"/>
          <w:numId w:val="7"/>
        </w:numPr>
        <w:tabs>
          <w:tab w:val="clear" w:pos="720"/>
          <w:tab w:val="left" w:pos="1260" w:leader="none"/>
        </w:tabs>
        <w:ind w:hanging="540" w:start="1260" w:end="0"/>
        <w:rPr/>
      </w:pPr>
      <w:r>
        <w:rPr/>
        <w:t>MPT still kept a tight control over which firms were allowed to enter the market and what rates were charged.   MPT ensured that these new carriers always charged 5% less than NTT for comparable calls and that the new carriers’ rates were uniform.</w:t>
      </w:r>
    </w:p>
    <w:p>
      <w:pPr>
        <w:pStyle w:val="Normal"/>
        <w:rPr/>
      </w:pPr>
      <w:r>
        <w:rPr/>
      </w:r>
    </w:p>
    <w:p>
      <w:pPr>
        <w:pStyle w:val="Normal"/>
        <w:ind w:hanging="360" w:start="720" w:end="0"/>
        <w:rPr/>
      </w:pPr>
      <w:r>
        <w:rPr/>
        <w:t xml:space="preserve">1.2 </w:t>
        <w:tab/>
        <w:t>Second Info-Communication Reform – July, 1999</w:t>
      </w:r>
    </w:p>
    <w:p>
      <w:pPr>
        <w:pStyle w:val="Normal"/>
        <w:rPr/>
      </w:pPr>
      <w:r>
        <w:rPr/>
      </w:r>
    </w:p>
    <w:p>
      <w:pPr>
        <w:pStyle w:val="BodyTextIndent"/>
        <w:rPr/>
      </w:pPr>
      <w:r>
        <w:rPr/>
        <w:t>1.21</w:t>
        <w:tab/>
        <w:t>NTT’s monopoly ended on local telephone services.</w:t>
      </w:r>
    </w:p>
    <w:p>
      <w:pPr>
        <w:pStyle w:val="Normal"/>
        <w:rPr/>
      </w:pPr>
      <w:r>
        <w:rPr/>
      </w:r>
    </w:p>
    <w:p>
      <w:pPr>
        <w:pStyle w:val="BodyTextIndent"/>
        <w:rPr/>
      </w:pPr>
      <w:r>
        <w:rPr/>
        <w:t>1.22</w:t>
        <w:tab/>
        <w:t>NTT was split into 2 local calling operations (NTT East &amp; NTT West) and 1 international services company (NTTC).</w:t>
      </w:r>
    </w:p>
    <w:p>
      <w:pPr>
        <w:pStyle w:val="Normal"/>
        <w:tabs>
          <w:tab w:val="clear" w:pos="720"/>
          <w:tab w:val="left" w:pos="360" w:leader="none"/>
        </w:tabs>
        <w:rPr/>
      </w:pPr>
      <w:r>
        <w:rPr/>
      </w:r>
    </w:p>
    <w:p>
      <w:pPr>
        <w:pStyle w:val="Normal"/>
        <w:tabs>
          <w:tab w:val="left" w:pos="720" w:leader="none"/>
        </w:tabs>
        <w:ind w:hanging="360" w:start="720" w:end="0"/>
        <w:rPr/>
      </w:pPr>
      <w:r>
        <w:rPr/>
        <w:t>1.3</w:t>
        <w:tab/>
        <w:t>Recent Reforms – Oct, 2000</w:t>
      </w:r>
    </w:p>
    <w:p>
      <w:pPr>
        <w:pStyle w:val="Normal"/>
        <w:rPr/>
      </w:pPr>
      <w:r>
        <w:rPr/>
      </w:r>
    </w:p>
    <w:p>
      <w:pPr>
        <w:pStyle w:val="BodyTextIndent"/>
        <w:rPr/>
      </w:pPr>
      <w:r>
        <w:rPr/>
        <w:t xml:space="preserve">1.31 </w:t>
        <w:tab/>
        <w:t>NTT is still the largest telephone company in the world and dominates 80% of the fixed-line market and 54% of wireless.</w:t>
      </w:r>
    </w:p>
    <w:p>
      <w:pPr>
        <w:pStyle w:val="Normal"/>
        <w:rPr/>
      </w:pPr>
      <w:r>
        <w:rPr/>
      </w:r>
    </w:p>
    <w:p>
      <w:pPr>
        <w:pStyle w:val="Normal"/>
        <w:ind w:hanging="540" w:start="1260" w:end="0"/>
        <w:rPr/>
      </w:pPr>
      <w:r>
        <w:rPr/>
        <w:t>1.32</w:t>
        <w:tab/>
        <w:t>Due to pressure from USTR, NTT has promised to cut interconnection cost an average 35% over 2 year and 40% over 3 years.</w:t>
      </w:r>
    </w:p>
    <w:p>
      <w:pPr>
        <w:pStyle w:val="Normal"/>
        <w:rPr/>
      </w:pPr>
      <w:r>
        <w:rPr/>
      </w:r>
    </w:p>
    <w:p>
      <w:pPr>
        <w:pStyle w:val="Normal"/>
        <w:numPr>
          <w:ilvl w:val="1"/>
          <w:numId w:val="5"/>
        </w:numPr>
        <w:tabs>
          <w:tab w:val="clear" w:pos="720"/>
          <w:tab w:val="left" w:pos="1260" w:leader="none"/>
        </w:tabs>
        <w:ind w:hanging="540" w:start="1260" w:end="0"/>
        <w:rPr/>
      </w:pPr>
      <w:r>
        <w:rPr/>
        <w:t>PM Mori recently announced plan to catch up with USA in IT within five years in telecom competition, e-commerce, intellectual property, digital signatures, privacy, and consumer protection.  At the G-8 summit in Okinawa, PM Mori pledged $15 billion over five years mainly to overcome the “Digital Divide” and to promote access to technology for all</w:t>
      </w:r>
    </w:p>
    <w:p>
      <w:pPr>
        <w:pStyle w:val="Normal"/>
        <w:rPr/>
      </w:pPr>
      <w:r>
        <w:rPr/>
      </w:r>
    </w:p>
    <w:p>
      <w:pPr>
        <w:pStyle w:val="Normal"/>
        <w:numPr>
          <w:ilvl w:val="1"/>
          <w:numId w:val="5"/>
        </w:numPr>
        <w:tabs>
          <w:tab w:val="clear" w:pos="720"/>
          <w:tab w:val="left" w:pos="1260" w:leader="none"/>
        </w:tabs>
        <w:ind w:hanging="540" w:start="1260" w:end="0"/>
        <w:rPr/>
      </w:pPr>
      <w:r>
        <w:rPr/>
        <w:t>IT Strategy Council (jointed chaired by Sony President, Nobuyuki Idei and the PM Mori)was formed to draft a national IT strategy designed to completely overhaul the nation’s telecommunications infrastructure and eliminate regulatory barriers impeding the growth of e-commerce by year-end</w:t>
      </w:r>
    </w:p>
    <w:p>
      <w:pPr>
        <w:pStyle w:val="Normal"/>
        <w:rPr/>
      </w:pPr>
      <w:r>
        <w:rPr/>
      </w:r>
    </w:p>
    <w:p>
      <w:pPr>
        <w:pStyle w:val="Normal"/>
        <w:numPr>
          <w:ilvl w:val="1"/>
          <w:numId w:val="5"/>
        </w:numPr>
        <w:tabs>
          <w:tab w:val="clear" w:pos="720"/>
          <w:tab w:val="left" w:pos="1260" w:leader="none"/>
        </w:tabs>
        <w:rPr/>
      </w:pPr>
      <w:r>
        <w:rPr/>
        <w:t>Japan’s Fair Trade Commission (FTC) has launched an anti-trust investigation against NTT East, for allegedly obstructing rivals from trying to set up DSL services.</w:t>
      </w:r>
    </w:p>
    <w:p>
      <w:pPr>
        <w:pStyle w:val="Normal"/>
        <w:rPr/>
      </w:pPr>
      <w:r>
        <w:rPr/>
      </w:r>
    </w:p>
    <w:p>
      <w:pPr>
        <w:pStyle w:val="Normal"/>
        <w:numPr>
          <w:ilvl w:val="0"/>
          <w:numId w:val="9"/>
        </w:numPr>
        <w:rPr>
          <w:b/>
        </w:rPr>
      </w:pPr>
      <w:r>
        <w:rPr>
          <w:b/>
        </w:rPr>
        <w:t>Licensing Framework</w:t>
      </w:r>
    </w:p>
    <w:p>
      <w:pPr>
        <w:pStyle w:val="Normal"/>
        <w:ind w:start="360" w:end="0"/>
        <w:rPr>
          <w:b/>
        </w:rPr>
      </w:pPr>
      <w:r>
        <w:rPr>
          <w:b/>
        </w:rPr>
      </w:r>
    </w:p>
    <w:p>
      <w:pPr>
        <w:pStyle w:val="Normal"/>
        <w:numPr>
          <w:ilvl w:val="1"/>
          <w:numId w:val="9"/>
        </w:numPr>
        <w:tabs>
          <w:tab w:val="left" w:pos="720" w:leader="none"/>
        </w:tabs>
        <w:ind w:hanging="360" w:start="720" w:end="0"/>
        <w:rPr/>
      </w:pPr>
      <w:r>
        <w:rPr/>
        <w:t>Type I telecommunication carrier provides telecommunication services by establishing telecommunication circuit facilities (cables, fibers, switches, etc).</w:t>
      </w:r>
    </w:p>
    <w:p>
      <w:pPr>
        <w:pStyle w:val="Normal"/>
        <w:ind w:start="720" w:end="0"/>
        <w:rPr/>
      </w:pPr>
      <w:r>
        <w:rPr/>
      </w:r>
    </w:p>
    <w:p>
      <w:pPr>
        <w:pStyle w:val="Normal"/>
        <w:numPr>
          <w:ilvl w:val="1"/>
          <w:numId w:val="9"/>
        </w:numPr>
        <w:ind w:hanging="0" w:start="360" w:end="0"/>
        <w:rPr/>
      </w:pPr>
      <w:r>
        <w:rPr/>
        <w:t>Type II telecommunication carriers are divided into two categories</w:t>
      </w:r>
    </w:p>
    <w:p>
      <w:pPr>
        <w:pStyle w:val="Normal"/>
        <w:rPr/>
      </w:pPr>
      <w:r>
        <w:rPr/>
      </w:r>
    </w:p>
    <w:p>
      <w:pPr>
        <w:pStyle w:val="Normal"/>
        <w:numPr>
          <w:ilvl w:val="1"/>
          <w:numId w:val="6"/>
        </w:numPr>
        <w:rPr/>
      </w:pPr>
      <w:r>
        <w:rPr/>
        <w:t xml:space="preserve"> </w:t>
      </w:r>
      <w:r>
        <w:rPr/>
        <w:t>Special Type II telecommunications carrier</w:t>
      </w:r>
    </w:p>
    <w:p>
      <w:pPr>
        <w:pStyle w:val="Normal"/>
        <w:ind w:start="720" w:end="0"/>
        <w:rPr/>
      </w:pPr>
      <w:r>
        <w:rPr/>
        <w:t xml:space="preserve"> </w:t>
      </w:r>
    </w:p>
    <w:p>
      <w:pPr>
        <w:pStyle w:val="Normal"/>
        <w:numPr>
          <w:ilvl w:val="2"/>
          <w:numId w:val="6"/>
        </w:numPr>
        <w:rPr/>
      </w:pPr>
      <w:r>
        <w:rPr/>
        <w:t>Provides voice service for an unspecified number of general subscribers  through the interconnection with PSTN at both ends of a leased circuit.</w:t>
      </w:r>
    </w:p>
    <w:p>
      <w:pPr>
        <w:pStyle w:val="Normal"/>
        <w:numPr>
          <w:ilvl w:val="2"/>
          <w:numId w:val="6"/>
        </w:numPr>
        <w:rPr/>
      </w:pPr>
      <w:r>
        <w:rPr/>
      </w:r>
    </w:p>
    <w:p>
      <w:pPr>
        <w:pStyle w:val="Normal"/>
        <w:numPr>
          <w:ilvl w:val="2"/>
          <w:numId w:val="6"/>
        </w:numPr>
        <w:rPr/>
      </w:pPr>
      <w:r>
        <w:rPr/>
        <w:t>Leases international leased circuits (IPLC)</w:t>
      </w:r>
    </w:p>
    <w:p>
      <w:pPr>
        <w:pStyle w:val="Normal"/>
        <w:ind w:start="1440" w:end="0"/>
        <w:rPr/>
      </w:pPr>
      <w:r>
        <w:rPr/>
      </w:r>
    </w:p>
    <w:p>
      <w:pPr>
        <w:pStyle w:val="Normal"/>
        <w:numPr>
          <w:ilvl w:val="1"/>
          <w:numId w:val="6"/>
        </w:numPr>
        <w:rPr/>
      </w:pPr>
      <w:r>
        <w:rPr/>
        <w:t>General Type II telecommunications business is anything that does not fall under the scope of Special type II telecommunications carrier.</w:t>
      </w:r>
    </w:p>
    <w:p>
      <w:pPr>
        <w:pStyle w:val="Normal"/>
        <w:rPr>
          <w:b/>
        </w:rPr>
      </w:pPr>
      <w:r>
        <w:rPr>
          <w:b/>
        </w:rPr>
      </w:r>
    </w:p>
    <w:p>
      <w:pPr>
        <w:pStyle w:val="Normal"/>
        <w:rPr>
          <w:b/>
        </w:rPr>
      </w:pPr>
      <w:r>
        <w:rPr>
          <w:b/>
        </w:rPr>
      </w:r>
    </w:p>
    <w:p>
      <w:pPr>
        <w:pStyle w:val="Normal"/>
        <w:tabs>
          <w:tab w:val="clear" w:pos="720"/>
          <w:tab w:val="left" w:pos="360" w:leader="none"/>
        </w:tabs>
        <w:rPr>
          <w:b/>
        </w:rPr>
      </w:pPr>
      <w:r>
        <w:rPr>
          <w:b/>
        </w:rPr>
        <w:t xml:space="preserve">3.   Enron Current Regulatory Position </w:t>
      </w:r>
    </w:p>
    <w:p>
      <w:pPr>
        <w:pStyle w:val="Normal"/>
        <w:numPr>
          <w:ilvl w:val="0"/>
          <w:numId w:val="4"/>
        </w:numPr>
        <w:rPr/>
      </w:pPr>
      <w:r>
        <w:rPr>
          <w:b/>
        </w:rPr>
      </w:r>
    </w:p>
    <w:p>
      <w:pPr>
        <w:pStyle w:val="Normal"/>
        <w:numPr>
          <w:ilvl w:val="0"/>
          <w:numId w:val="4"/>
        </w:numPr>
        <w:rPr/>
      </w:pPr>
      <w:r>
        <w:rPr/>
        <w:t>3.1</w:t>
        <w:tab/>
        <w:t>Presentation to MPT regarding the bandwidth trading concept - Feb,  2000</w:t>
      </w:r>
    </w:p>
    <w:p>
      <w:pPr>
        <w:pStyle w:val="Normal"/>
        <w:rPr/>
      </w:pPr>
      <w:r>
        <w:rPr/>
      </w:r>
    </w:p>
    <w:p>
      <w:pPr>
        <w:pStyle w:val="Normal"/>
        <w:numPr>
          <w:ilvl w:val="1"/>
          <w:numId w:val="8"/>
        </w:numPr>
        <w:tabs>
          <w:tab w:val="clear" w:pos="720"/>
          <w:tab w:val="left" w:pos="1260" w:leader="none"/>
        </w:tabs>
        <w:ind w:hanging="540" w:start="1260" w:end="0"/>
        <w:rPr/>
      </w:pPr>
      <w:r>
        <w:rPr/>
        <w:t>Current Telecommunication Business Law (TBL) is vague and restrictive with respect to the concept of bandwidth trading.  The TBL allows smaller fringe Japanese carriers to participate in bandwidth trading, but would severely limit the ability of large facilities based carriers, such as NTT to participate in bandwidth trading activities.</w:t>
      </w:r>
    </w:p>
    <w:p>
      <w:pPr>
        <w:pStyle w:val="Normal"/>
        <w:rPr/>
      </w:pPr>
      <w:r>
        <w:rPr/>
      </w:r>
    </w:p>
    <w:p>
      <w:pPr>
        <w:pStyle w:val="Normal"/>
        <w:numPr>
          <w:ilvl w:val="1"/>
          <w:numId w:val="8"/>
        </w:numPr>
        <w:tabs>
          <w:tab w:val="clear" w:pos="720"/>
          <w:tab w:val="left" w:pos="1260" w:leader="none"/>
        </w:tabs>
        <w:ind w:hanging="540" w:start="1260" w:end="0"/>
        <w:rPr/>
      </w:pPr>
      <w:r>
        <w:rPr/>
        <w:t>EBS pointed out that the ability to utilize transparent, non-discriminatory, pricing was paramount in implementing the bandwidth trading concept.  Bandwidth trading would also facilitate competition in the Japanese telecommunications marketplace and thus benefit both the Japanese consumer and the economy.</w:t>
      </w:r>
    </w:p>
    <w:p>
      <w:pPr>
        <w:pStyle w:val="Normal"/>
        <w:rPr/>
      </w:pPr>
      <w:r>
        <w:rPr/>
      </w:r>
    </w:p>
    <w:p>
      <w:pPr>
        <w:pStyle w:val="Normal"/>
        <w:numPr>
          <w:ilvl w:val="1"/>
          <w:numId w:val="2"/>
        </w:numPr>
        <w:rPr/>
      </w:pPr>
      <w:r>
        <w:rPr/>
        <w:t>MPT promise to “study” the issue and get back to Enron.  To date, no response has been received</w:t>
      </w:r>
    </w:p>
    <w:p>
      <w:pPr>
        <w:pStyle w:val="Normal"/>
        <w:rPr/>
      </w:pPr>
      <w:r>
        <w:rPr/>
      </w:r>
    </w:p>
    <w:p>
      <w:pPr>
        <w:pStyle w:val="Normal"/>
        <w:numPr>
          <w:ilvl w:val="1"/>
          <w:numId w:val="2"/>
        </w:numPr>
        <w:rPr/>
      </w:pPr>
      <w:r>
        <w:rPr/>
        <w:t>Formation of Corporate Entity and Licenses</w:t>
      </w:r>
    </w:p>
    <w:p>
      <w:pPr>
        <w:pStyle w:val="Normal"/>
        <w:rPr/>
      </w:pPr>
      <w:r>
        <w:rPr/>
      </w:r>
    </w:p>
    <w:p>
      <w:pPr>
        <w:pStyle w:val="Normal"/>
        <w:numPr>
          <w:ilvl w:val="1"/>
          <w:numId w:val="3"/>
        </w:numPr>
        <w:tabs>
          <w:tab w:val="clear" w:pos="720"/>
          <w:tab w:val="left" w:pos="1260" w:leader="none"/>
        </w:tabs>
        <w:ind w:hanging="540" w:start="1260" w:end="0"/>
        <w:rPr/>
      </w:pPr>
      <w:r>
        <w:rPr/>
        <w:t>EBS has established 2 companies.  EBS Applications YK has applied for and received a General Type 2 license for the planned telecommunications activities in Japan. And EBS Networks YK has acquired a Special Type 2 International license for the intended international activities.</w:t>
      </w:r>
    </w:p>
    <w:p>
      <w:pPr>
        <w:pStyle w:val="Normal"/>
        <w:rPr/>
      </w:pPr>
      <w:r>
        <w:rPr/>
      </w:r>
    </w:p>
    <w:p>
      <w:pPr>
        <w:pStyle w:val="Normal"/>
        <w:rPr/>
      </w:pPr>
      <w:r>
        <w:rPr/>
      </w:r>
    </w:p>
    <w:p>
      <w:pPr>
        <w:pStyle w:val="Normal"/>
        <w:tabs>
          <w:tab w:val="clear" w:pos="720"/>
          <w:tab w:val="left" w:pos="360" w:leader="none"/>
        </w:tabs>
        <w:rPr/>
      </w:pPr>
      <w:r>
        <w:rPr/>
      </w:r>
    </w:p>
    <w:p>
      <w:pPr>
        <w:pStyle w:val="Normal"/>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Japanese_Government_Regulatory_Profile.doc</w:t>
    </w:r>
    <w:r>
      <w:rPr>
        <w:sz w:val="12"/>
        <w:rFonts w:cs="Arial" w:ascii="Arial" w:hAnsi="Arial"/>
        <w:lang w:eastAsia="en-US"/>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lvl w:ilvl="1">
      <w:start w:val="2"/>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3"/>
      <w:numFmt w:val="decimal"/>
      <w:lvlText w:val="%1"/>
      <w:lvlJc w:val="start"/>
      <w:pPr>
        <w:tabs>
          <w:tab w:val="num" w:pos="360"/>
        </w:tabs>
        <w:ind w:start="360" w:hanging="360"/>
      </w:pPr>
      <w:rPr/>
    </w:lvl>
    <w:lvl w:ilvl="1">
      <w:start w:val="3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3"/>
      <w:numFmt w:val="decimal"/>
      <w:lvlText w:val=""/>
      <w:lvlJc w:val="start"/>
      <w:pPr>
        <w:tabs>
          <w:tab w:val="num" w:pos="360"/>
        </w:tabs>
        <w:ind w:start="360" w:hanging="360"/>
      </w:pPr>
      <w:rPr>
        <w:b/>
      </w:rPr>
    </w:lvl>
  </w:abstractNum>
  <w:abstractNum w:abstractNumId="5">
    <w:lvl w:ilvl="0">
      <w:start w:val="1"/>
      <w:numFmt w:val="decimal"/>
      <w:lvlText w:val="%1"/>
      <w:lvlJc w:val="start"/>
      <w:pPr>
        <w:tabs>
          <w:tab w:val="num" w:pos="360"/>
        </w:tabs>
        <w:ind w:start="360" w:hanging="360"/>
      </w:pPr>
      <w:rPr/>
    </w:lvl>
    <w:lvl w:ilvl="1">
      <w:start w:val="3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2"/>
      <w:numFmt w:val="decimal"/>
      <w:lvlText w:val="%1"/>
      <w:lvlJc w:val="start"/>
      <w:pPr>
        <w:tabs>
          <w:tab w:val="num" w:pos="540"/>
        </w:tabs>
        <w:ind w:start="540" w:hanging="540"/>
      </w:pPr>
      <w:rPr/>
    </w:lvl>
    <w:lvl w:ilvl="1">
      <w:start w:val="21"/>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decimal"/>
      <w:lvlText w:val="%1"/>
      <w:lvlJc w:val="start"/>
      <w:pPr>
        <w:tabs>
          <w:tab w:val="num" w:pos="360"/>
        </w:tabs>
        <w:ind w:start="360" w:hanging="360"/>
      </w:pPr>
      <w:rPr/>
    </w:lvl>
    <w:lvl w:ilvl="1">
      <w:start w:val="1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3"/>
      <w:numFmt w:val="decimal"/>
      <w:lvlText w:val="%1"/>
      <w:lvlJc w:val="start"/>
      <w:pPr>
        <w:tabs>
          <w:tab w:val="num" w:pos="360"/>
        </w:tabs>
        <w:ind w:start="360" w:hanging="360"/>
      </w:pPr>
      <w:rPr/>
    </w:lvl>
    <w:lvl w:ilvl="1">
      <w:start w:val="1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540" w:start="12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2000-10-26T17:40:00Z</dcterms:created>
  <dc:creator>xi_xi</dc:creator>
  <dc:description/>
  <dc:language>en-CA</dc:language>
  <cp:lastModifiedBy>xi_xi</cp:lastModifiedBy>
  <cp:lastPrinted>2001-01-08T17:06:00Z</cp:lastPrinted>
  <dcterms:modified xsi:type="dcterms:W3CDTF">2001-01-08T21:48:00Z</dcterms:modified>
  <cp:revision>10</cp:revision>
  <dc:subject/>
  <dc:title>Japanese Government Regulatory Profile: Telecommunication and IT</dc:title>
</cp:coreProperties>
</file>