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Position:</w:t>
        <w:tab/>
        <w:t>Financial Controller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  <w:t>Enron Japan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Reports to:</w:t>
        <w:tab/>
        <w:t>Joseph Hirl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ab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Manage all accounting, bookkeeping, preparation of statutory accounts, local financial reporting, US GAAP reporting, tax filings, and other duties typical of a satellite office Controller 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Liaison with auditors related to risk controls and processes, and accounting records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360"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Establish office procedures and interface with support departments and Houston on control environment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Ensure proper accounting for derivative trading activities and development and maintenance of an appropriate control environment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Manage all planning/budgeting and reporting responsibilities, as required both by local management and Houston</w:t>
      </w:r>
    </w:p>
    <w:p>
      <w:pPr>
        <w:pStyle w:val="Normal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Interface with functional Enron/APACHI commercial support leads: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Accounting, Financial Reporting and Transaction Settlement, Trading</w:t>
      </w:r>
    </w:p>
    <w:p>
      <w:pPr>
        <w:pStyle w:val="Normal"/>
        <w:ind w:start="720" w:end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Operations, Tax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Coordinate / interface with IT department for development and ongoing maintenance of accounting systems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Coordinate with Houston Treasury on all cash needs / movements including structuring of funding mechanisms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Review and maintenance of all daily cash activity and cashflow reporting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 xml:space="preserve">Handle various local office administrative tasks 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Act as Public Officer as required under local regulation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Requirements: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Bachelor’s degree in Accounting, an MBA or CPA a plus</w:t>
      </w:r>
    </w:p>
    <w:p>
      <w:pPr>
        <w:pStyle w:val="Normal"/>
        <w:ind w:end="-72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8–10 years minimum experience required, including experience in trading operations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International experience preferred</w:t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ahoma" w:hAnsi="Tahoma" w:cs="Tahoma"/>
        <w:sz w:val="24"/>
      </w:rPr>
    </w:pPr>
    <w:r>
      <w:rPr>
        <w:rFonts w:cs="Tahoma" w:ascii="Tahoma" w:hAnsi="Tahoma"/>
        <w:sz w:val="24"/>
      </w:rPr>
    </w:r>
  </w:p>
  <w:p>
    <w:pPr>
      <w:pStyle w:val="Header"/>
      <w:jc w:val="center"/>
      <w:rPr>
        <w:rFonts w:ascii="Tahoma" w:hAnsi="Tahoma" w:cs="Tahoma"/>
        <w:sz w:val="24"/>
      </w:rPr>
    </w:pPr>
    <w:r>
      <w:rPr>
        <w:rFonts w:cs="Tahoma" w:ascii="Tahoma" w:hAnsi="Tahoma"/>
        <w:sz w:val="24"/>
      </w:rPr>
      <w:t>FINANCIAL CONTROLLER</w:t>
    </w:r>
  </w:p>
  <w:p>
    <w:pPr>
      <w:pStyle w:val="Header"/>
      <w:jc w:val="center"/>
      <w:rPr>
        <w:rFonts w:ascii="Tahoma" w:hAnsi="Tahoma" w:cs="Tahoma"/>
        <w:sz w:val="24"/>
      </w:rPr>
    </w:pPr>
    <w:r>
      <w:rPr>
        <w:rFonts w:cs="Tahoma" w:ascii="Tahoma" w:hAnsi="Tahoma"/>
        <w:sz w:val="24"/>
      </w:rPr>
      <w:t>Job Description</w:t>
    </w:r>
  </w:p>
  <w:p>
    <w:pPr>
      <w:pStyle w:val="Header"/>
      <w:jc w:val="center"/>
      <w:rPr>
        <w:rFonts w:ascii="Tahoma" w:hAnsi="Tahoma" w:cs="Tahoma"/>
        <w:i/>
        <w:i/>
        <w:sz w:val="24"/>
      </w:rPr>
    </w:pPr>
    <w:r>
      <w:rPr>
        <w:rFonts w:cs="Tahoma" w:ascii="Tahoma" w:hAnsi="Tahoma"/>
        <w:i/>
        <w:sz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-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rFonts w:ascii="Tahoma" w:hAnsi="Tahoma" w:cs="Tahoma"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360" w:end="0"/>
      <w:outlineLvl w:val="1"/>
    </w:pPr>
    <w:rPr>
      <w:rFonts w:ascii="Arial" w:hAnsi="Arial" w:cs="Arial"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2000-04-07T12:41:00Z</dcterms:created>
  <dc:creator>EI</dc:creator>
  <dc:description/>
  <dc:language>en-CA</dc:language>
  <cp:lastModifiedBy>ENRON</cp:lastModifiedBy>
  <cp:lastPrinted>1999-03-10T20:14:00Z</cp:lastPrinted>
  <dcterms:modified xsi:type="dcterms:W3CDTF">2000-04-07T18:55:00Z</dcterms:modified>
  <cp:revision>6</cp:revision>
  <dc:subject/>
  <dc:title> Consistent accounting practices over trading / derivatives practices</dc:title>
</cp:coreProperties>
</file>