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80"/>
          <w:lang w:eastAsia="ja-JP"/>
        </w:rPr>
      </w:pPr>
      <w:r>
        <w:rPr>
          <w:color w:val="000080"/>
          <w:lang w:eastAsia="ja-JP"/>
        </w:rPr>
      </w:r>
    </w:p>
    <w:p>
      <w:pPr>
        <w:pStyle w:val="Heading"/>
        <w:rPr/>
      </w:pPr>
      <w:r>
        <w:rPr>
          <w:color w:val="000080"/>
        </w:rPr>
        <w:t>Reactive Statement</w:t>
      </w:r>
      <w:r>
        <w:rPr>
          <w:color w:val="000080"/>
          <w:lang w:eastAsia="ja-JP"/>
        </w:rPr>
        <w:t xml:space="preserve"> (Enron</w:t>
      </w:r>
      <w:r>
        <w:rPr>
          <w:color w:val="000080"/>
          <w:lang w:eastAsia="ja-JP"/>
        </w:rPr>
        <w:t>’</w:t>
      </w:r>
      <w:r>
        <w:rPr>
          <w:color w:val="000080"/>
          <w:lang w:eastAsia="ja-JP"/>
        </w:rPr>
        <w:t>s Operations in Japan)</w:t>
      </w:r>
      <w:r>
        <w:rPr>
          <w:color w:val="000080"/>
          <w:sz w:val="36"/>
        </w:rPr>
        <w:t xml:space="preserve"> </w:t>
      </w:r>
    </w:p>
    <w:p>
      <w:pPr>
        <w:pStyle w:val="Normal"/>
        <w:jc w:val="center"/>
        <w:rPr>
          <w:color w:val="000080"/>
          <w:sz w:val="32"/>
        </w:rPr>
      </w:pPr>
      <w:r>
        <w:rPr>
          <w:color w:val="000080"/>
          <w:sz w:val="32"/>
        </w:rPr>
      </w:r>
    </w:p>
    <w:p>
      <w:pPr>
        <w:pStyle w:val="Normal"/>
        <w:rPr>
          <w:sz w:val="32"/>
          <w:lang w:eastAsia="ja-JP"/>
        </w:rPr>
      </w:pPr>
      <w:r>
        <w:rPr>
          <w:sz w:val="32"/>
          <w:lang w:eastAsia="ja-JP"/>
        </w:rPr>
      </w:r>
    </w:p>
    <w:p>
      <w:pPr>
        <w:pStyle w:val="Normal"/>
        <w:jc w:val="both"/>
        <w:rPr/>
      </w:pPr>
      <w:r>
        <w:rPr>
          <w:lang w:eastAsia="ja-JP"/>
        </w:rPr>
        <w:t xml:space="preserve">On November 9, </w:t>
      </w:r>
      <w:r>
        <w:rPr/>
        <w:t xml:space="preserve">Dynegy Inc. and Enron Corp. announced the execution of a definitive agreement for a merger of the two companies.  The combined company, to be called Dynegy Inc., will focus on the core businesses of North American and European wholesale </w:t>
      </w:r>
      <w:r>
        <w:rPr>
          <w:lang w:eastAsia="ja-JP"/>
        </w:rPr>
        <w:t>power and gas</w:t>
      </w:r>
      <w:r>
        <w:rPr/>
        <w:t xml:space="preserve"> markets</w:t>
      </w:r>
      <w:r>
        <w:rPr>
          <w:lang w:eastAsia="ja-JP"/>
        </w:rPr>
        <w:t>,</w:t>
      </w:r>
      <w:r>
        <w:rPr/>
        <w:t xml:space="preserve"> </w:t>
      </w:r>
      <w:r>
        <w:rPr>
          <w:lang w:eastAsia="ja-JP"/>
        </w:rPr>
        <w:t>retail in North America and Europe</w:t>
      </w:r>
      <w:r>
        <w:rPr/>
        <w:t xml:space="preserve">, </w:t>
      </w:r>
      <w:r>
        <w:rPr>
          <w:lang w:eastAsia="ja-JP"/>
        </w:rPr>
        <w:t xml:space="preserve">natural gas pipelines in North America and coal. </w:t>
      </w:r>
    </w:p>
    <w:p>
      <w:pPr>
        <w:pStyle w:val="Normal"/>
        <w:jc w:val="both"/>
        <w:rPr>
          <w:lang w:eastAsia="ja-JP"/>
        </w:rPr>
      </w:pPr>
      <w:r>
        <w:rPr>
          <w:lang w:eastAsia="ja-JP"/>
        </w:rPr>
      </w:r>
    </w:p>
    <w:p>
      <w:pPr>
        <w:pStyle w:val="Normal"/>
        <w:jc w:val="both"/>
        <w:rPr/>
      </w:pPr>
      <w:r>
        <w:rPr>
          <w:lang w:eastAsia="ja-JP"/>
        </w:rPr>
        <w:t xml:space="preserve">Enron is currently reviewing all of its global operations that have strong future prospects. As part of this review, Enron is now performing an indepth assessment of businesses that both Enron Japan Corp. and E Power Corporation are conducting </w:t>
      </w:r>
      <w:r>
        <w:rPr>
          <w:lang w:eastAsia="ja-JP"/>
        </w:rPr>
        <w:t>in th</w:t>
      </w:r>
      <w:r>
        <w:rPr>
          <w:lang w:eastAsia="ja-JP"/>
        </w:rPr>
        <w:t>e Japanese</w:t>
      </w:r>
      <w:r>
        <w:rPr>
          <w:lang w:eastAsia="ja-JP"/>
        </w:rPr>
        <w:t xml:space="preserve"> market</w:t>
      </w:r>
      <w:r>
        <w:rPr>
          <w:lang w:eastAsia="ja-JP"/>
        </w:rPr>
        <w:t>.</w:t>
      </w:r>
    </w:p>
    <w:p>
      <w:pPr>
        <w:pStyle w:val="Normal"/>
        <w:jc w:val="both"/>
        <w:rPr>
          <w:lang w:eastAsia="ja-JP"/>
        </w:rPr>
      </w:pPr>
      <w:r>
        <w:rPr>
          <w:lang w:eastAsia="ja-JP"/>
        </w:rPr>
      </w:r>
    </w:p>
    <w:p>
      <w:pPr>
        <w:pStyle w:val="Normal"/>
        <w:jc w:val="both"/>
        <w:rPr/>
      </w:pPr>
      <w:r>
        <w:rPr>
          <w:lang w:eastAsia="ja-JP"/>
        </w:rPr>
        <w:t xml:space="preserve">Enron </w:t>
      </w:r>
      <w:r>
        <w:rPr>
          <w:lang w:eastAsia="ja-JP"/>
        </w:rPr>
        <w:t xml:space="preserve">is </w:t>
      </w:r>
      <w:r>
        <w:rPr>
          <w:lang w:eastAsia="ja-JP"/>
        </w:rPr>
        <w:t>examin</w:t>
      </w:r>
      <w:r>
        <w:rPr>
          <w:lang w:eastAsia="ja-JP"/>
        </w:rPr>
        <w:t xml:space="preserve">ing several alternatives with respect to its operations in Japan, </w:t>
      </w:r>
      <w:r>
        <w:rPr>
          <w:lang w:eastAsia="ja-JP"/>
        </w:rPr>
        <w:t>including</w:t>
      </w:r>
      <w:r>
        <w:rPr>
          <w:lang w:eastAsia="ja-JP"/>
        </w:rPr>
        <w:t xml:space="preserve"> </w:t>
      </w:r>
      <w:r>
        <w:rPr>
          <w:lang w:eastAsia="ja-JP"/>
        </w:rPr>
        <w:t xml:space="preserve">retaining all Japanese operations as core businesses, and the sale of all or part of </w:t>
      </w:r>
      <w:r>
        <w:rPr>
          <w:lang w:eastAsia="ja-JP"/>
        </w:rPr>
        <w:t xml:space="preserve">its </w:t>
      </w:r>
      <w:r>
        <w:rPr>
          <w:lang w:eastAsia="ja-JP"/>
        </w:rPr>
        <w:t>operations</w:t>
      </w:r>
      <w:r>
        <w:rPr>
          <w:lang w:eastAsia="ja-JP"/>
        </w:rPr>
        <w:t xml:space="preserve">. The review will be </w:t>
      </w:r>
      <w:r>
        <w:rPr>
          <w:lang w:eastAsia="ja-JP"/>
        </w:rPr>
        <w:t>complet</w:t>
      </w:r>
      <w:r>
        <w:rPr>
          <w:lang w:eastAsia="ja-JP"/>
        </w:rPr>
        <w:t xml:space="preserve">ed </w:t>
      </w:r>
      <w:r>
        <w:rPr>
          <w:lang w:eastAsia="ja-JP"/>
        </w:rPr>
        <w:t>as quickly as possible.</w:t>
      </w:r>
    </w:p>
    <w:p>
      <w:pPr>
        <w:pStyle w:val="Normal"/>
        <w:jc w:val="both"/>
        <w:rPr>
          <w:lang w:eastAsia="ja-JP"/>
        </w:rPr>
      </w:pPr>
      <w:r>
        <w:rPr>
          <w:lang w:eastAsia="ja-JP"/>
        </w:rPr>
      </w:r>
    </w:p>
    <w:p>
      <w:pPr>
        <w:pStyle w:val="Normal"/>
        <w:tabs>
          <w:tab w:val="clear" w:pos="720"/>
          <w:tab w:val="left" w:pos="0" w:leader="none"/>
        </w:tabs>
        <w:autoSpaceDE w:val="false"/>
        <w:jc w:val="both"/>
        <w:rPr>
          <w:rFonts w:ascii="Arial" w:hAnsi="Arial" w:eastAsia="Times New Roman" w:cs="Arial"/>
          <w:sz w:val="20"/>
          <w:szCs w:val="20"/>
          <w:u w:val="single"/>
        </w:rPr>
      </w:pPr>
      <w:r>
        <w:rPr>
          <w:iCs/>
          <w:lang w:eastAsia="ja-JP"/>
        </w:rPr>
        <w:t xml:space="preserve">As a matter of policy, we do not comment on </w:t>
      </w:r>
      <w:r>
        <w:rPr>
          <w:iCs/>
          <w:lang w:eastAsia="ja-JP"/>
        </w:rPr>
        <w:t xml:space="preserve">commercial </w:t>
      </w:r>
      <w:r>
        <w:rPr>
          <w:iCs/>
          <w:lang w:eastAsia="ja-JP"/>
        </w:rPr>
        <w:t xml:space="preserve">discussions we </w:t>
      </w:r>
      <w:r>
        <w:rPr>
          <w:iCs/>
          <w:lang w:eastAsia="ja-JP"/>
        </w:rPr>
        <w:t>may or may not be having</w:t>
      </w:r>
      <w:r>
        <w:rPr>
          <w:iCs/>
          <w:lang w:eastAsia="ja-JP"/>
        </w:rPr>
        <w:t xml:space="preserve">, about our existing relationships with counterparties, </w:t>
      </w:r>
      <w:r>
        <w:rPr>
          <w:iCs/>
          <w:lang w:eastAsia="ja-JP"/>
        </w:rPr>
        <w:t xml:space="preserve">or </w:t>
      </w:r>
      <w:r>
        <w:rPr>
          <w:iCs/>
          <w:lang w:eastAsia="ja-JP"/>
        </w:rPr>
        <w:t>about speculation concerning potential divestments, acquisitions or takeover</w:t>
      </w:r>
      <w:r>
        <w:rPr>
          <w:iCs/>
          <w:lang w:eastAsia="ja-JP"/>
        </w:rPr>
        <w:t>s</w:t>
      </w:r>
      <w:r>
        <w:rPr>
          <w:iCs/>
          <w:lang w:eastAsia="ja-JP"/>
        </w:rPr>
        <w:t>.</w:t>
      </w:r>
    </w:p>
    <w:p>
      <w:pPr>
        <w:pStyle w:val="BodyText"/>
        <w:jc w:val="both"/>
        <w:rPr>
          <w:rFonts w:ascii="Arial" w:hAnsi="Arial" w:eastAsia="Times New Roman" w:cs="Arial"/>
          <w:b w:val="false"/>
          <w:bCs w:val="false"/>
          <w:iCs/>
          <w:sz w:val="20"/>
          <w:szCs w:val="20"/>
          <w:u w:val="single"/>
          <w:lang w:eastAsia="ja-JP"/>
        </w:rPr>
      </w:pPr>
      <w:r>
        <w:rPr>
          <w:rFonts w:eastAsia="Times New Roman" w:cs="Arial" w:ascii="Arial" w:hAnsi="Arial"/>
          <w:b w:val="false"/>
          <w:bCs w:val="false"/>
          <w:iCs/>
          <w:sz w:val="20"/>
          <w:szCs w:val="20"/>
          <w:u w:val="single"/>
          <w:lang w:eastAsia="ja-JP"/>
        </w:rPr>
      </w:r>
    </w:p>
    <w:p>
      <w:pPr>
        <w:pStyle w:val="Normal"/>
        <w:jc w:val="both"/>
        <w:rPr>
          <w:rFonts w:cs="Arial"/>
          <w:lang w:eastAsia="ja-JP"/>
        </w:rPr>
      </w:pPr>
      <w:r>
        <w:rPr>
          <w:rFonts w:cs="Arial"/>
        </w:rPr>
        <w:t xml:space="preserve">The merger is expected to close by the third quarter </w:t>
      </w:r>
      <w:r>
        <w:rPr>
          <w:rFonts w:cs="Arial"/>
          <w:lang w:eastAsia="ja-JP"/>
        </w:rPr>
        <w:t xml:space="preserve">of </w:t>
      </w:r>
      <w:r>
        <w:rPr>
          <w:rFonts w:cs="Arial"/>
        </w:rPr>
        <w:t xml:space="preserve">2002, </w:t>
      </w:r>
      <w:r>
        <w:rPr/>
        <w:t xml:space="preserve">but until the transaction closes, the </w:t>
      </w:r>
      <w:r>
        <w:rPr>
          <w:lang w:eastAsia="ja-JP"/>
        </w:rPr>
        <w:t xml:space="preserve">two </w:t>
      </w:r>
      <w:r>
        <w:rPr/>
        <w:t>companies will continue to function independently.</w:t>
      </w:r>
      <w:r>
        <w:rPr>
          <w:rFonts w:cs="Arial"/>
        </w:rPr>
        <w:t xml:space="preserve"> </w:t>
      </w:r>
    </w:p>
    <w:p>
      <w:pPr>
        <w:pStyle w:val="Normal"/>
        <w:jc w:val="both"/>
        <w:rPr>
          <w:rFonts w:cs="Arial"/>
          <w:lang w:eastAsia="ja-JP"/>
        </w:rPr>
      </w:pPr>
      <w:r>
        <w:rPr>
          <w:rFonts w:cs="Arial"/>
          <w:lang w:eastAsia="ja-JP"/>
        </w:rPr>
      </w:r>
    </w:p>
    <w:p>
      <w:pPr>
        <w:pStyle w:val="Normal"/>
        <w:jc w:val="both"/>
        <w:rPr>
          <w:rFonts w:cs="Arial"/>
          <w:iCs/>
          <w:lang w:eastAsia="ja-JP"/>
        </w:rPr>
      </w:pPr>
      <w:r>
        <w:rPr>
          <w:rFonts w:cs="Arial"/>
          <w:iCs/>
          <w:lang w:eastAsia="ja-JP"/>
        </w:rPr>
      </w:r>
    </w:p>
    <w:p>
      <w:pPr>
        <w:pStyle w:val="BodyText2"/>
        <w:rPr>
          <w:lang w:eastAsia="ja-JP"/>
        </w:rPr>
      </w:pPr>
      <w:r>
        <w:rPr/>
        <w:t>We believe that the merger between Enron and Dynegy is a positive and exciting opportunity for both companies and their customers</w:t>
      </w:r>
      <w:r>
        <w:rPr>
          <w:lang w:eastAsia="ja-JP"/>
        </w:rPr>
        <w:t xml:space="preserve"> in the world. </w:t>
      </w:r>
      <w:r>
        <w:rPr/>
        <w:t xml:space="preserve">This combination provides a wider and more diverse platform to meet the needs of our customers with reliable delivery and predictable pricing.  Customers will also benefit from the broader supply sources of the two companies. </w:t>
      </w:r>
    </w:p>
    <w:p>
      <w:pPr>
        <w:pStyle w:val="Normal"/>
        <w:jc w:val="both"/>
        <w:rPr>
          <w:lang w:eastAsia="ja-JP"/>
        </w:rPr>
      </w:pPr>
      <w:r>
        <w:rPr>
          <w:lang w:eastAsia="ja-JP"/>
        </w:rPr>
      </w:r>
    </w:p>
    <w:p>
      <w:pPr>
        <w:pStyle w:val="Normal"/>
        <w:jc w:val="both"/>
        <w:rPr>
          <w:lang w:eastAsia="ja-JP"/>
        </w:rPr>
      </w:pPr>
      <w:r>
        <w:rPr>
          <w:lang w:eastAsia="ja-JP"/>
        </w:rPr>
      </w:r>
    </w:p>
    <w:p>
      <w:pPr>
        <w:pStyle w:val="Header"/>
        <w:tabs>
          <w:tab w:val="clear" w:pos="4320"/>
          <w:tab w:val="clear" w:pos="8640"/>
        </w:tabs>
        <w:rPr>
          <w:rFonts w:eastAsia="Times New Roman"/>
        </w:rPr>
      </w:pPr>
      <w:r>
        <w:rPr>
          <w:rFonts w:eastAsia="Times New Roman"/>
        </w:rPr>
        <w:t xml:space="preserve">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lang w:eastAsia="ja-JP"/>
      </w:rPr>
    </w:pPr>
    <w:r>
      <w:rPr>
        <w:lang w:eastAsia="ja-JP"/>
      </w:rPr>
      <w:t>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lang w:eastAsia="ja-JP"/>
      </w:rPr>
    </w:pPr>
    <w:r>
      <w:rPr>
        <w:lang w:eastAsia="ja-JP"/>
      </w:rPr>
      <w:t>Enron Public Affairs, Japan</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4"/>
      <w:szCs w:val="24"/>
      <w:lang w:val="en-US" w:bidi="ar-SA" w:eastAsia="zh-CN"/>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rPr>
      <w:b/>
      <w:bCs/>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2001-11-16T06:25:00Z</dcterms:created>
  <dc:creator>noday</dc:creator>
  <dc:description/>
  <dc:language>en-CA</dc:language>
  <cp:lastModifiedBy>mwatana</cp:lastModifiedBy>
  <cp:lastPrinted>2001-11-16T15:37:00Z</cp:lastPrinted>
  <dcterms:modified xsi:type="dcterms:W3CDTF">2001-11-16T06:25:00Z</dcterms:modified>
  <cp:revision>2</cp:revision>
  <dc:subject/>
  <dc:title>Q&amp;A’s Organizational Announcement</dc:title>
</cp:coreProperties>
</file>