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before="400" w:after="120"/>
        <w:ind w:start="-840" w:firstLine="840" w:end="0"/>
        <w:outlineLvl w:val="0"/>
        <w:rPr>
          <w:rFonts w:ascii="Times New Roman" w:hAnsi="Times New Roman" w:cs="Times New Roman"/>
        </w:rPr>
      </w:pPr>
      <w:r>
        <w:rPr>
          <w:rFonts w:cs="Times New Roman" w:ascii="Times New Roman" w:hAnsi="Times New Roman"/>
          <w:sz w:val="36"/>
        </w:rPr>
        <w:t>Memo</w:t>
      </w:r>
      <w:r>
        <mc:AlternateContent>
          <mc:Choice Requires="wps">
            <w:drawing>
              <wp:anchor behindDoc="0" distT="0" distB="0" distL="114300" distR="114300" simplePos="0" locked="0" layoutInCell="0" allowOverlap="1" relativeHeight="2">
                <wp:simplePos x="0" y="0"/>
                <wp:positionH relativeFrom="page">
                  <wp:posOffset>367665</wp:posOffset>
                </wp:positionH>
                <wp:positionV relativeFrom="paragraph">
                  <wp:posOffset>-797560</wp:posOffset>
                </wp:positionV>
                <wp:extent cx="1129665" cy="1129030"/>
                <wp:effectExtent l="0" t="0" r="0" b="0"/>
                <wp:wrapSquare wrapText="bothSides"/>
                <wp:docPr id="1" name="Frame1"/>
                <a:graphic xmlns:a="http://schemas.openxmlformats.org/drawingml/2006/main">
                  <a:graphicData uri="http://schemas.microsoft.com/office/word/2010/wordprocessingShape">
                    <wps:wsp>
                      <wps:cNvSpPr txBox="1"/>
                      <wps:spPr>
                        <a:xfrm>
                          <a:off x="0" y="0"/>
                          <a:ext cx="1129665" cy="1129030"/>
                        </a:xfrm>
                        <a:prstGeom prst="rect"/>
                        <a:solidFill>
                          <a:srgbClr val="FFFFFF">
                            <a:alpha val="0"/>
                          </a:srgbClr>
                        </a:solidFill>
                      </wps:spPr>
                      <wps:txbx>
                        <w:txbxContent>
                          <w:p>
                            <w:pPr>
                              <w:pStyle w:val="Normal"/>
                              <w:rPr/>
                            </w:pPr>
                            <w:r>
                              <w:rPr/>
                              <w:object w:dxaOrig="1778" w:dyaOrig="17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8.9pt;height:88.9pt" filled="f" o:ole="">
                                  <v:imagedata r:id="rId3" o:title=""/>
                                </v:shape>
                                <o:OLEObject Type="Embed" ProgID="" ShapeID="ole_rId2" DrawAspect="Content" ObjectID="_1844048390" r:id="rId2"/>
                              </w:object>
                            </w:r>
                          </w:p>
                        </w:txbxContent>
                      </wps:txbx>
                      <wps:bodyPr anchor="t" lIns="0" tIns="0" rIns="0" bIns="0">
                        <a:noAutofit/>
                      </wps:bodyPr>
                    </wps:wsp>
                  </a:graphicData>
                </a:graphic>
              </wp:anchor>
            </w:drawing>
          </mc:Choice>
          <mc:Fallback>
            <w:pict>
              <v:rect fillcolor="#FFFFFF" style="position:absolute;rotation:-0;width:88.95pt;height:88.9pt;mso-wrap-distance-left:9pt;mso-wrap-distance-right:9pt;mso-wrap-distance-top:0pt;mso-wrap-distance-bottom:0pt;margin-top:-62.8pt;mso-position-vertical-relative:text;margin-left:28.95pt;mso-position-horizontal-relative:page">
                <v:fill opacity="0f"/>
                <v:textbox inset="0in,0in,0in,0in">
                  <w:txbxContent>
                    <w:p>
                      <w:pPr>
                        <w:pStyle w:val="Normal"/>
                        <w:rPr/>
                      </w:pPr>
                      <w:r>
                        <w:rPr/>
                        <w:object w:dxaOrig="1778" w:dyaOrig="177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8.9pt;height:88.9pt" filled="f" o:ole="">
                            <v:imagedata r:id="rId5" o:title=""/>
                          </v:shape>
                          <o:OLEObject Type="Embed" ProgID="" ShapeID="ole_rId4" DrawAspect="Content" ObjectID="_1588270313" r:id="rId4"/>
                        </w:object>
                      </w:r>
                    </w:p>
                  </w:txbxContent>
                </v:textbox>
                <w10:wrap type="square"/>
              </v:rect>
            </w:pict>
          </mc:Fallback>
        </mc:AlternateContent>
      </w:r>
    </w:p>
    <w:p>
      <w:pPr>
        <w:pStyle w:val="MessageHeaderFirst"/>
        <w:rPr/>
      </w:pPr>
      <w:r>
        <w:rPr>
          <w:rStyle w:val="MessageHeaderLabel"/>
          <w:rFonts w:cs="Times New Roman" w:ascii="Times New Roman" w:hAnsi="Times New Roman"/>
        </w:rPr>
        <w:t>Date:</w:t>
      </w:r>
      <w:r>
        <w:rPr>
          <w:rFonts w:cs="Times New Roman" w:ascii="Times New Roman" w:hAnsi="Times New Roman"/>
        </w:rPr>
        <w:tab/>
      </w:r>
      <w:r>
        <w:rPr>
          <w:rFonts w:cs="Times New Roman" w:ascii="Times New Roman" w:hAnsi="Times New Roman"/>
          <w:sz w:val="28"/>
        </w:rPr>
        <w:t>October 4th 2001</w:t>
      </w:r>
    </w:p>
    <w:p>
      <w:pPr>
        <w:pStyle w:val="MessageHeaderFirst"/>
        <w:rPr/>
      </w:pPr>
      <w:r>
        <w:rPr>
          <w:rStyle w:val="MessageHeaderLabel"/>
          <w:rFonts w:cs="Times New Roman" w:ascii="Times New Roman" w:hAnsi="Times New Roman"/>
        </w:rPr>
        <w:t>To:</w:t>
      </w:r>
      <w:r>
        <w:rPr>
          <w:rFonts w:cs="Times New Roman" w:ascii="Times New Roman" w:hAnsi="Times New Roman"/>
        </w:rPr>
        <w:t xml:space="preserve">           John Sherriff, Joe Hirl, Fernley Dyson, Mike Jordan, Michael Brown, Ted Murphy, John Suttle,  Shona Wilson, Paul Day (Arthur Andersen)</w:t>
      </w:r>
    </w:p>
    <w:p>
      <w:pPr>
        <w:pStyle w:val="MessageHeader"/>
        <w:ind w:hanging="0" w:start="0" w:end="0"/>
        <w:rPr>
          <w:rStyle w:val="MessageHeaderLabel"/>
          <w:rFonts w:ascii="Times New Roman" w:hAnsi="Times New Roman" w:cs="Times New Roman"/>
          <w:sz w:val="20"/>
        </w:rPr>
      </w:pPr>
      <w:r>
        <w:rPr>
          <w:rFonts w:cs="Times New Roman" w:ascii="Times New Roman" w:hAnsi="Times New Roman"/>
        </w:rPr>
      </w:r>
    </w:p>
    <w:p>
      <w:pPr>
        <w:pStyle w:val="MessageHeader"/>
        <w:numPr>
          <w:ilvl w:val="0"/>
          <w:numId w:val="0"/>
        </w:numPr>
        <w:ind w:hanging="0" w:start="0" w:end="0"/>
        <w:outlineLvl w:val="0"/>
        <w:rPr/>
      </w:pPr>
      <w:r>
        <w:rPr>
          <w:rStyle w:val="MessageHeaderLabel"/>
          <w:rFonts w:cs="Times New Roman" w:ascii="Times New Roman" w:hAnsi="Times New Roman"/>
        </w:rPr>
        <w:t>From:</w:t>
      </w:r>
      <w:r>
        <w:rPr>
          <w:rFonts w:cs="Times New Roman" w:ascii="Times New Roman" w:hAnsi="Times New Roman"/>
        </w:rPr>
        <w:tab/>
        <w:t>Jan-Erland Bekeng, James New</w:t>
      </w:r>
    </w:p>
    <w:p>
      <w:pPr>
        <w:pStyle w:val="MessageHeaderLast"/>
        <w:pBdr>
          <w:bottom w:val="single" w:sz="6" w:space="17" w:color="000000"/>
        </w:pBdr>
        <w:ind w:hanging="0" w:start="0" w:end="0"/>
        <w:rPr/>
      </w:pPr>
      <w:r>
        <w:rPr>
          <w:rStyle w:val="MessageHeaderLabel"/>
          <w:rFonts w:cs="Times New Roman" w:ascii="Times New Roman" w:hAnsi="Times New Roman"/>
        </w:rPr>
        <w:t>Re:</w:t>
      </w:r>
      <w:r>
        <w:rPr>
          <w:rFonts w:cs="Times New Roman" w:ascii="Times New Roman" w:hAnsi="Times New Roman"/>
        </w:rPr>
        <w:tab/>
      </w:r>
      <w:r>
        <w:rPr>
          <w:rFonts w:cs="Times New Roman" w:ascii="Times New Roman" w:hAnsi="Times New Roman"/>
          <w:b/>
          <w:sz w:val="24"/>
          <w:u w:val="single"/>
        </w:rPr>
        <w:t>Enron Japan - Power – September 2001 Curve Validation and Profit and Loss Report</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The purpose of this memorandum is to summarise our review of the Enron Japan Power Curves used as at the 28th of September 2001 and analyse the reported profits of the book. </w:t>
      </w:r>
    </w:p>
    <w:p>
      <w:pPr>
        <w:pStyle w:val="MessageHeader"/>
        <w:numPr>
          <w:ilvl w:val="0"/>
          <w:numId w:val="0"/>
        </w:numPr>
        <w:tabs>
          <w:tab w:val="clear" w:pos="720"/>
          <w:tab w:val="left" w:pos="0" w:leader="none"/>
        </w:tabs>
        <w:ind w:hanging="720" w:start="720"/>
        <w:outlineLvl w:val="0"/>
        <w:rPr>
          <w:rFonts w:ascii="Times New Roman" w:hAnsi="Times New Roman" w:cs="Times New Roman"/>
        </w:rPr>
      </w:pPr>
      <w:r>
        <w:rPr>
          <w:rFonts w:cs="Times New Roman" w:ascii="Times New Roman" w:hAnsi="Times New Roman"/>
          <w:b/>
          <w:u w:val="single"/>
        </w:rPr>
        <w:t>A- Executive Summary</w:t>
      </w:r>
    </w:p>
    <w:p>
      <w:pPr>
        <w:pStyle w:val="MessageHeader"/>
        <w:tabs>
          <w:tab w:val="clear" w:pos="720"/>
          <w:tab w:val="left" w:pos="0" w:leader="none"/>
        </w:tabs>
        <w:ind w:hanging="0" w:start="0" w:end="0"/>
        <w:rPr/>
      </w:pPr>
      <w:r>
        <w:rPr>
          <w:rFonts w:cs="Times New Roman" w:ascii="Times New Roman" w:hAnsi="Times New Roman"/>
        </w:rPr>
        <w:t xml:space="preserve">Having reviewed and validated the September 28th 2001 Enron Japan Power Curves and considered the appropriateness of any significant changes in inputs and assumptions, we conclude the curves are fairly constructed with an objective methodology, using the latest data, where available, and are consistent with relevant market information. The loss for the month of September was </w:t>
      </w:r>
      <w:r>
        <w:rPr>
          <w:rFonts w:cs="Times New Roman" w:ascii="Times New Roman" w:hAnsi="Times New Roman"/>
          <w:b/>
          <w:bCs/>
        </w:rPr>
        <w:t>JPY 2.76m</w:t>
      </w:r>
      <w:r>
        <w:rPr>
          <w:rFonts w:cs="Times New Roman" w:ascii="Times New Roman" w:hAnsi="Times New Roman"/>
        </w:rPr>
        <w:t xml:space="preserve"> </w:t>
      </w:r>
      <w:r>
        <w:rPr>
          <w:rFonts w:cs="Times New Roman" w:ascii="Times New Roman" w:hAnsi="Times New Roman"/>
          <w:b/>
          <w:bCs/>
        </w:rPr>
        <w:t xml:space="preserve">[USD 0.025m] </w:t>
      </w:r>
      <w:r>
        <w:rPr>
          <w:rFonts w:cs="Times New Roman" w:ascii="Times New Roman" w:hAnsi="Times New Roman"/>
        </w:rPr>
        <w:t>(August profi twas  JPY 0.185m [USD 0m]) and the t</w:t>
      </w:r>
      <w:r>
        <w:rPr>
          <w:rFonts w:cs="Times New Roman" w:ascii="Times New Roman" w:hAnsi="Times New Roman"/>
          <w:b/>
        </w:rPr>
        <w:t>otal net assets</w:t>
      </w:r>
      <w:r>
        <w:rPr>
          <w:rFonts w:cs="Times New Roman" w:ascii="Times New Roman" w:hAnsi="Times New Roman"/>
        </w:rPr>
        <w:t xml:space="preserve"> were </w:t>
      </w:r>
      <w:r>
        <w:rPr>
          <w:rFonts w:cs="Times New Roman" w:ascii="Times New Roman" w:hAnsi="Times New Roman"/>
          <w:b/>
          <w:bCs/>
        </w:rPr>
        <w:t>JPY 33.9m [USD 0.28m]</w:t>
      </w:r>
      <w:r>
        <w:rPr>
          <w:rFonts w:cs="Times New Roman" w:ascii="Times New Roman" w:hAnsi="Times New Roman"/>
          <w:b/>
        </w:rPr>
        <w:t xml:space="preserve"> </w:t>
      </w:r>
      <w:r>
        <w:rPr>
          <w:rFonts w:cs="Times New Roman" w:ascii="Times New Roman" w:hAnsi="Times New Roman"/>
        </w:rPr>
        <w:t>(August  JPY 36.6m [USD 0.30m]).</w:t>
      </w:r>
    </w:p>
    <w:p>
      <w:pPr>
        <w:pStyle w:val="MessageHeader"/>
        <w:numPr>
          <w:ilvl w:val="0"/>
          <w:numId w:val="0"/>
        </w:numPr>
        <w:tabs>
          <w:tab w:val="clear" w:pos="720"/>
          <w:tab w:val="left" w:pos="0" w:leader="none"/>
        </w:tabs>
        <w:ind w:hanging="0" w:start="0" w:end="0"/>
        <w:outlineLvl w:val="0"/>
        <w:rPr>
          <w:rFonts w:ascii="Times New Roman" w:hAnsi="Times New Roman" w:cs="Times New Roman"/>
          <w:bCs/>
        </w:rPr>
      </w:pPr>
      <w:r>
        <w:rPr>
          <w:rFonts w:cs="Times New Roman" w:ascii="Times New Roman" w:hAnsi="Times New Roman"/>
          <w:bCs/>
        </w:rPr>
      </w:r>
    </w:p>
    <w:p>
      <w:pPr>
        <w:pStyle w:val="MessageHeader"/>
        <w:tabs>
          <w:tab w:val="clear" w:pos="720"/>
          <w:tab w:val="left" w:pos="0" w:leader="none"/>
        </w:tabs>
        <w:rPr>
          <w:rFonts w:ascii="Times New Roman" w:hAnsi="Times New Roman" w:cs="Times New Roman"/>
          <w:bCs/>
        </w:rPr>
      </w:pPr>
      <w:r>
        <w:rPr>
          <w:rFonts w:cs="Times New Roman" w:ascii="Times New Roman" w:hAnsi="Times New Roman"/>
          <w:bCs/>
        </w:rPr>
        <w:t>The main profit drivers in September were:</w:t>
      </w:r>
    </w:p>
    <w:p>
      <w:pPr>
        <w:pStyle w:val="MessageHeader"/>
        <w:numPr>
          <w:ilvl w:val="0"/>
          <w:numId w:val="3"/>
        </w:numPr>
        <w:tabs>
          <w:tab w:val="left" w:pos="0" w:leader="none"/>
          <w:tab w:val="left" w:pos="720" w:leader="none"/>
        </w:tabs>
        <w:rPr>
          <w:rFonts w:ascii="Times New Roman" w:hAnsi="Times New Roman" w:cs="Times New Roman"/>
          <w:bCs/>
        </w:rPr>
      </w:pPr>
      <w:r>
        <w:rPr>
          <w:rFonts w:cs="Times New Roman" w:ascii="Times New Roman" w:hAnsi="Times New Roman"/>
          <w:b/>
        </w:rPr>
        <w:t>Theta (Time decay) loss of JPY 2.79m [USD 0.023m]</w:t>
      </w:r>
    </w:p>
    <w:p>
      <w:pPr>
        <w:pStyle w:val="MessageHeader"/>
        <w:numPr>
          <w:ilvl w:val="0"/>
          <w:numId w:val="3"/>
        </w:numPr>
        <w:tabs>
          <w:tab w:val="left" w:pos="0" w:leader="none"/>
          <w:tab w:val="left" w:pos="720" w:leader="none"/>
        </w:tabs>
        <w:rPr>
          <w:rFonts w:ascii="Times New Roman" w:hAnsi="Times New Roman" w:cs="Times New Roman"/>
          <w:bCs/>
        </w:rPr>
      </w:pPr>
      <w:r>
        <w:rPr>
          <w:rFonts w:cs="Times New Roman" w:ascii="Times New Roman" w:hAnsi="Times New Roman"/>
          <w:b/>
        </w:rPr>
        <w:t>Current Delta Volume is short 151,483 MWh, which is within the Japanese power limit of 4 TWh</w:t>
      </w:r>
    </w:p>
    <w:p>
      <w:pPr>
        <w:pStyle w:val="MessageHeader"/>
        <w:numPr>
          <w:ilvl w:val="0"/>
          <w:numId w:val="3"/>
        </w:numPr>
        <w:tabs>
          <w:tab w:val="left" w:pos="0" w:leader="none"/>
          <w:tab w:val="left" w:pos="720" w:leader="none"/>
        </w:tabs>
        <w:rPr>
          <w:rFonts w:ascii="Times New Roman" w:hAnsi="Times New Roman" w:cs="Times New Roman"/>
          <w:bCs/>
        </w:rPr>
      </w:pPr>
      <w:r>
        <w:rPr>
          <w:rFonts w:cs="Times New Roman" w:ascii="Times New Roman" w:hAnsi="Times New Roman"/>
          <w:b/>
        </w:rPr>
        <w:t>Current VaR is JPY 9.656m [USD 0.081m], which is within the Japanese VaR limit of  USD 4m</w:t>
      </w:r>
    </w:p>
    <w:p>
      <w:pPr>
        <w:pStyle w:val="MessageHeader"/>
        <w:numPr>
          <w:ilvl w:val="0"/>
          <w:numId w:val="3"/>
        </w:numPr>
        <w:tabs>
          <w:tab w:val="left" w:pos="0" w:leader="none"/>
          <w:tab w:val="left" w:pos="720" w:leader="none"/>
        </w:tabs>
        <w:rPr>
          <w:rFonts w:ascii="Times New Roman" w:hAnsi="Times New Roman" w:cs="Times New Roman"/>
          <w:bCs/>
        </w:rPr>
      </w:pPr>
      <w:r>
        <w:rPr>
          <w:rFonts w:cs="Times New Roman" w:ascii="Times New Roman" w:hAnsi="Times New Roman"/>
          <w:b/>
        </w:rPr>
        <w:t>There is no Prudency in the Japanese Power book</w:t>
      </w:r>
    </w:p>
    <w:p>
      <w:pPr>
        <w:pStyle w:val="MessageHeader"/>
        <w:numPr>
          <w:ilvl w:val="0"/>
          <w:numId w:val="3"/>
        </w:numPr>
        <w:tabs>
          <w:tab w:val="left" w:pos="0" w:leader="none"/>
          <w:tab w:val="left" w:pos="720" w:leader="none"/>
        </w:tabs>
        <w:rPr>
          <w:rFonts w:ascii="Times New Roman" w:hAnsi="Times New Roman" w:cs="Times New Roman"/>
          <w:b/>
          <w:bCs/>
        </w:rPr>
      </w:pPr>
      <w:r>
        <w:rPr>
          <w:rFonts w:cs="Times New Roman" w:ascii="Times New Roman" w:hAnsi="Times New Roman"/>
          <w:b/>
          <w:bCs/>
        </w:rPr>
        <w:t>There were 0 trades in September (August 0 trades)</w:t>
      </w:r>
    </w:p>
    <w:p>
      <w:pPr>
        <w:pStyle w:val="MessageHeader"/>
        <w:tabs>
          <w:tab w:val="clear" w:pos="720"/>
          <w:tab w:val="left" w:pos="0" w:leader="none"/>
        </w:tabs>
        <w:ind w:hanging="0" w:start="0" w:end="0"/>
        <w:rPr>
          <w:rFonts w:ascii="Times New Roman" w:hAnsi="Times New Roman" w:cs="Times New Roman"/>
          <w:b/>
          <w:bCs/>
        </w:rPr>
      </w:pPr>
      <w:r>
        <w:rPr>
          <w:rFonts w:cs="Times New Roman" w:ascii="Times New Roman" w:hAnsi="Times New Roman"/>
          <w:b/>
          <w:bCs/>
        </w:rPr>
      </w:r>
    </w:p>
    <w:p>
      <w:pPr>
        <w:pStyle w:val="MessageHeader"/>
        <w:tabs>
          <w:tab w:val="clear" w:pos="720"/>
          <w:tab w:val="left" w:pos="0" w:leader="none"/>
        </w:tabs>
        <w:ind w:hanging="0" w:start="0" w:end="0"/>
        <w:rPr/>
      </w:pPr>
      <w:r>
        <w:rPr/>
        <w:t>September</w:t>
      </w:r>
    </w:p>
    <w:tbl>
      <w:tblPr>
        <w:tblW w:w="7800" w:type="dxa"/>
        <w:jc w:val="start"/>
        <w:tblInd w:w="0" w:type="dxa"/>
        <w:tblLayout w:type="fixed"/>
        <w:tblCellMar>
          <w:top w:w="15" w:type="dxa"/>
          <w:start w:w="15" w:type="dxa"/>
          <w:bottom w:w="0" w:type="dxa"/>
          <w:end w:w="15" w:type="dxa"/>
        </w:tblCellMar>
      </w:tblPr>
      <w:tblGrid>
        <w:gridCol w:w="1300"/>
        <w:gridCol w:w="1300"/>
        <w:gridCol w:w="1300"/>
        <w:gridCol w:w="1300"/>
        <w:gridCol w:w="1300"/>
        <w:gridCol w:w="1300"/>
      </w:tblGrid>
      <w:tr>
        <w:trPr>
          <w:trHeight w:val="255" w:hRule="atLeast"/>
        </w:trPr>
        <w:tc>
          <w:tcPr>
            <w:tcW w:w="1300" w:type="dxa"/>
            <w:tcBorders>
              <w:top w:val="single" w:sz="8" w:space="0" w:color="000000"/>
              <w:start w:val="single" w:sz="8" w:space="0" w:color="000000"/>
            </w:tcBorders>
            <w:shd w:fill="C0C0C0" w:val="clear"/>
            <w:vAlign w:val="bottom"/>
          </w:tcPr>
          <w:p>
            <w:pPr>
              <w:pStyle w:val="Normal"/>
              <w:jc w:val="center"/>
              <w:rPr>
                <w:rFonts w:ascii="Times New Roman" w:hAnsi="Times New Roman" w:eastAsia="Arial Unicode MS" w:cs="Times New Roman"/>
                <w:b/>
                <w:bCs/>
              </w:rPr>
            </w:pPr>
            <w:r>
              <w:rPr>
                <w:rFonts w:cs="Times New Roman" w:ascii="Times New Roman" w:hAnsi="Times New Roman"/>
                <w:b/>
                <w:bCs/>
              </w:rPr>
              <w:t>Delta</w:t>
            </w:r>
          </w:p>
        </w:tc>
        <w:tc>
          <w:tcPr>
            <w:tcW w:w="1300" w:type="dxa"/>
            <w:tcBorders>
              <w:top w:val="single" w:sz="8" w:space="0" w:color="000000"/>
            </w:tcBorders>
            <w:shd w:fill="C0C0C0" w:val="clear"/>
            <w:vAlign w:val="bottom"/>
          </w:tcPr>
          <w:p>
            <w:pPr>
              <w:pStyle w:val="Normal"/>
              <w:jc w:val="center"/>
              <w:rPr>
                <w:rFonts w:ascii="Times New Roman" w:hAnsi="Times New Roman" w:eastAsia="Arial Unicode MS" w:cs="Times New Roman"/>
                <w:b/>
                <w:bCs/>
              </w:rPr>
            </w:pPr>
            <w:r>
              <w:rPr>
                <w:rFonts w:cs="Times New Roman" w:ascii="Times New Roman" w:hAnsi="Times New Roman"/>
                <w:b/>
                <w:bCs/>
              </w:rPr>
              <w:t>Gamma</w:t>
            </w:r>
          </w:p>
        </w:tc>
        <w:tc>
          <w:tcPr>
            <w:tcW w:w="1300" w:type="dxa"/>
            <w:tcBorders>
              <w:top w:val="single" w:sz="8" w:space="0" w:color="000000"/>
            </w:tcBorders>
            <w:shd w:fill="C0C0C0" w:val="clear"/>
            <w:vAlign w:val="bottom"/>
          </w:tcPr>
          <w:p>
            <w:pPr>
              <w:pStyle w:val="Normal"/>
              <w:jc w:val="center"/>
              <w:rPr>
                <w:rFonts w:ascii="Times New Roman" w:hAnsi="Times New Roman" w:eastAsia="Arial Unicode MS" w:cs="Times New Roman"/>
                <w:b/>
                <w:bCs/>
              </w:rPr>
            </w:pPr>
            <w:r>
              <w:rPr>
                <w:rFonts w:cs="Times New Roman" w:ascii="Times New Roman" w:hAnsi="Times New Roman"/>
                <w:b/>
                <w:bCs/>
              </w:rPr>
              <w:t>Vega</w:t>
            </w:r>
          </w:p>
        </w:tc>
        <w:tc>
          <w:tcPr>
            <w:tcW w:w="1300" w:type="dxa"/>
            <w:tcBorders>
              <w:top w:val="single" w:sz="8" w:space="0" w:color="000000"/>
            </w:tcBorders>
            <w:shd w:fill="C0C0C0" w:val="clear"/>
            <w:vAlign w:val="bottom"/>
          </w:tcPr>
          <w:p>
            <w:pPr>
              <w:pStyle w:val="Normal"/>
              <w:jc w:val="center"/>
              <w:rPr>
                <w:rFonts w:ascii="Times New Roman" w:hAnsi="Times New Roman" w:eastAsia="Arial Unicode MS" w:cs="Times New Roman"/>
                <w:b/>
                <w:bCs/>
              </w:rPr>
            </w:pPr>
            <w:r>
              <w:rPr>
                <w:rFonts w:cs="Times New Roman" w:ascii="Times New Roman" w:hAnsi="Times New Roman"/>
                <w:b/>
                <w:bCs/>
              </w:rPr>
              <w:t>Theta</w:t>
            </w:r>
          </w:p>
        </w:tc>
        <w:tc>
          <w:tcPr>
            <w:tcW w:w="1300" w:type="dxa"/>
            <w:tcBorders>
              <w:top w:val="single" w:sz="8" w:space="0" w:color="000000"/>
            </w:tcBorders>
            <w:shd w:fill="C0C0C0" w:val="clear"/>
            <w:vAlign w:val="bottom"/>
          </w:tcPr>
          <w:p>
            <w:pPr>
              <w:pStyle w:val="Normal"/>
              <w:jc w:val="center"/>
              <w:rPr>
                <w:rFonts w:ascii="Times New Roman" w:hAnsi="Times New Roman" w:eastAsia="Arial Unicode MS" w:cs="Times New Roman"/>
                <w:b/>
                <w:bCs/>
              </w:rPr>
            </w:pPr>
            <w:r>
              <w:rPr>
                <w:rFonts w:cs="Times New Roman" w:ascii="Times New Roman" w:hAnsi="Times New Roman"/>
                <w:b/>
                <w:bCs/>
              </w:rPr>
              <w:t>Rho</w:t>
            </w:r>
          </w:p>
        </w:tc>
        <w:tc>
          <w:tcPr>
            <w:tcW w:w="1300" w:type="dxa"/>
            <w:tcBorders>
              <w:top w:val="single" w:sz="8" w:space="0" w:color="000000"/>
              <w:end w:val="single" w:sz="8" w:space="0" w:color="000000"/>
            </w:tcBorders>
            <w:shd w:fill="C0C0C0" w:val="clear"/>
            <w:vAlign w:val="bottom"/>
          </w:tcPr>
          <w:p>
            <w:pPr>
              <w:pStyle w:val="Normal"/>
              <w:jc w:val="center"/>
              <w:rPr>
                <w:rFonts w:ascii="Times New Roman" w:hAnsi="Times New Roman" w:eastAsia="Arial Unicode MS" w:cs="Times New Roman"/>
                <w:b/>
                <w:bCs/>
              </w:rPr>
            </w:pPr>
            <w:r>
              <w:rPr>
                <w:rFonts w:cs="Times New Roman" w:ascii="Times New Roman" w:hAnsi="Times New Roman"/>
                <w:b/>
                <w:bCs/>
              </w:rPr>
              <w:t>2. Order</w:t>
            </w:r>
          </w:p>
        </w:tc>
      </w:tr>
      <w:tr>
        <w:trPr>
          <w:trHeight w:val="255" w:hRule="atLeast"/>
        </w:trPr>
        <w:tc>
          <w:tcPr>
            <w:tcW w:w="1300" w:type="dxa"/>
            <w:tcBorders>
              <w:start w:val="single" w:sz="8" w:space="0" w:color="000000"/>
            </w:tcBorders>
            <w:vAlign w:val="bottom"/>
          </w:tcPr>
          <w:p>
            <w:pPr>
              <w:pStyle w:val="Normal"/>
              <w:jc w:val="center"/>
              <w:rPr>
                <w:rFonts w:ascii="Times New Roman" w:hAnsi="Times New Roman" w:eastAsia="Arial Unicode MS" w:cs="Times New Roman"/>
              </w:rPr>
            </w:pPr>
            <w:r>
              <w:rPr>
                <w:rFonts w:cs="Times New Roman" w:ascii="Times New Roman" w:hAnsi="Times New Roman"/>
              </w:rPr>
              <w:t xml:space="preserve">                       </w:t>
            </w:r>
            <w:r>
              <w:rPr>
                <w:rFonts w:cs="Times New Roman" w:ascii="Times New Roman" w:hAnsi="Times New Roman"/>
              </w:rPr>
              <w:t xml:space="preserve">-   </w:t>
            </w:r>
          </w:p>
        </w:tc>
        <w:tc>
          <w:tcPr>
            <w:tcW w:w="1300" w:type="dxa"/>
            <w:tcBorders/>
            <w:vAlign w:val="bottom"/>
          </w:tcPr>
          <w:p>
            <w:pPr>
              <w:pStyle w:val="Normal"/>
              <w:jc w:val="center"/>
              <w:rPr>
                <w:rFonts w:ascii="Times New Roman" w:hAnsi="Times New Roman" w:eastAsia="Arial Unicode MS" w:cs="Times New Roman"/>
              </w:rPr>
            </w:pPr>
            <w:r>
              <w:rPr>
                <w:rFonts w:cs="Times New Roman" w:ascii="Times New Roman" w:hAnsi="Times New Roman"/>
              </w:rPr>
              <w:t xml:space="preserve">                       </w:t>
            </w:r>
            <w:r>
              <w:rPr>
                <w:rFonts w:cs="Times New Roman" w:ascii="Times New Roman" w:hAnsi="Times New Roman"/>
              </w:rPr>
              <w:t xml:space="preserve">-   </w:t>
            </w:r>
          </w:p>
        </w:tc>
        <w:tc>
          <w:tcPr>
            <w:tcW w:w="1300" w:type="dxa"/>
            <w:tcBorders/>
            <w:vAlign w:val="bottom"/>
          </w:tcPr>
          <w:p>
            <w:pPr>
              <w:pStyle w:val="Normal"/>
              <w:jc w:val="center"/>
              <w:rPr>
                <w:rFonts w:ascii="Times New Roman" w:hAnsi="Times New Roman" w:eastAsia="Arial Unicode MS" w:cs="Times New Roman"/>
              </w:rPr>
            </w:pPr>
            <w:r>
              <w:rPr>
                <w:rFonts w:cs="Times New Roman" w:ascii="Times New Roman" w:hAnsi="Times New Roman"/>
              </w:rPr>
              <w:t xml:space="preserve">                       </w:t>
            </w:r>
            <w:r>
              <w:rPr>
                <w:rFonts w:cs="Times New Roman" w:ascii="Times New Roman" w:hAnsi="Times New Roman"/>
              </w:rPr>
              <w:t xml:space="preserve">-   </w:t>
            </w:r>
          </w:p>
        </w:tc>
        <w:tc>
          <w:tcPr>
            <w:tcW w:w="1300" w:type="dxa"/>
            <w:tcBorders/>
            <w:vAlign w:val="bottom"/>
          </w:tcPr>
          <w:p>
            <w:pPr>
              <w:pStyle w:val="Normal"/>
              <w:rPr>
                <w:rFonts w:ascii="Times New Roman" w:hAnsi="Times New Roman" w:eastAsia="Arial Unicode MS" w:cs="Times New Roman"/>
              </w:rPr>
            </w:pPr>
            <w:r>
              <w:rPr>
                <w:rFonts w:cs="Times New Roman" w:ascii="Times New Roman" w:hAnsi="Times New Roman"/>
              </w:rPr>
              <w:t xml:space="preserve">        </w:t>
            </w:r>
            <w:r>
              <w:rPr>
                <w:rFonts w:cs="Times New Roman" w:ascii="Times New Roman" w:hAnsi="Times New Roman"/>
              </w:rPr>
              <w:t>(2,793,370)</w:t>
            </w:r>
          </w:p>
        </w:tc>
        <w:tc>
          <w:tcPr>
            <w:tcW w:w="1300" w:type="dxa"/>
            <w:tcBorders/>
            <w:vAlign w:val="bottom"/>
          </w:tcPr>
          <w:p>
            <w:pPr>
              <w:pStyle w:val="Normal"/>
              <w:jc w:val="center"/>
              <w:rPr>
                <w:rFonts w:ascii="Times New Roman" w:hAnsi="Times New Roman" w:eastAsia="Arial Unicode MS" w:cs="Times New Roman"/>
              </w:rPr>
            </w:pPr>
            <w:r>
              <w:rPr>
                <w:rFonts w:cs="Times New Roman" w:ascii="Times New Roman" w:hAnsi="Times New Roman"/>
              </w:rPr>
              <w:t xml:space="preserve">                </w:t>
            </w:r>
            <w:r>
              <w:rPr>
                <w:rFonts w:cs="Times New Roman" w:ascii="Times New Roman" w:hAnsi="Times New Roman"/>
              </w:rPr>
              <w:t>52,092</w:t>
            </w:r>
          </w:p>
        </w:tc>
        <w:tc>
          <w:tcPr>
            <w:tcW w:w="1300" w:type="dxa"/>
            <w:tcBorders>
              <w:end w:val="single" w:sz="8" w:space="0" w:color="000000"/>
            </w:tcBorders>
            <w:vAlign w:val="bottom"/>
          </w:tcPr>
          <w:p>
            <w:pPr>
              <w:pStyle w:val="Normal"/>
              <w:jc w:val="center"/>
              <w:rPr>
                <w:rFonts w:ascii="Times New Roman" w:hAnsi="Times New Roman" w:eastAsia="Arial Unicode MS" w:cs="Times New Roman"/>
              </w:rPr>
            </w:pPr>
            <w:r>
              <w:rPr>
                <w:rFonts w:cs="Times New Roman" w:ascii="Times New Roman" w:hAnsi="Times New Roman"/>
              </w:rPr>
              <w:t xml:space="preserve">        </w:t>
            </w:r>
            <w:r>
              <w:rPr>
                <w:rFonts w:cs="Times New Roman" w:ascii="Times New Roman" w:hAnsi="Times New Roman"/>
              </w:rPr>
              <w:t>(17,515)</w:t>
            </w:r>
          </w:p>
        </w:tc>
      </w:tr>
      <w:tr>
        <w:trPr>
          <w:trHeight w:val="255" w:hRule="atLeast"/>
        </w:trPr>
        <w:tc>
          <w:tcPr>
            <w:tcW w:w="1300" w:type="dxa"/>
            <w:tcBorders>
              <w:start w:val="single" w:sz="8" w:space="0" w:color="000000"/>
            </w:tcBorders>
            <w:shd w:fill="C0C0C0" w:val="clear"/>
            <w:vAlign w:val="bottom"/>
          </w:tcPr>
          <w:p>
            <w:pPr>
              <w:pStyle w:val="Normal"/>
              <w:jc w:val="center"/>
              <w:rPr>
                <w:rFonts w:ascii="Times New Roman" w:hAnsi="Times New Roman" w:eastAsia="Arial Unicode MS" w:cs="Times New Roman"/>
                <w:b/>
                <w:bCs/>
              </w:rPr>
            </w:pPr>
            <w:r>
              <w:rPr>
                <w:rFonts w:cs="Times New Roman" w:ascii="Times New Roman" w:hAnsi="Times New Roman"/>
                <w:b/>
                <w:bCs/>
              </w:rPr>
              <w:t>Originations</w:t>
            </w:r>
          </w:p>
        </w:tc>
        <w:tc>
          <w:tcPr>
            <w:tcW w:w="1300" w:type="dxa"/>
            <w:tcBorders/>
            <w:shd w:fill="C0C0C0" w:val="clear"/>
            <w:vAlign w:val="bottom"/>
          </w:tcPr>
          <w:p>
            <w:pPr>
              <w:pStyle w:val="Normal"/>
              <w:jc w:val="center"/>
              <w:rPr>
                <w:rFonts w:ascii="Times New Roman" w:hAnsi="Times New Roman" w:eastAsia="Arial Unicode MS" w:cs="Times New Roman"/>
                <w:b/>
                <w:bCs/>
              </w:rPr>
            </w:pPr>
            <w:r>
              <w:rPr>
                <w:rFonts w:cs="Times New Roman" w:ascii="Times New Roman" w:hAnsi="Times New Roman"/>
                <w:b/>
                <w:bCs/>
              </w:rPr>
              <w:t>Rebooking</w:t>
            </w:r>
          </w:p>
        </w:tc>
        <w:tc>
          <w:tcPr>
            <w:tcW w:w="1300" w:type="dxa"/>
            <w:tcBorders/>
            <w:shd w:fill="C0C0C0" w:val="clear"/>
            <w:vAlign w:val="bottom"/>
          </w:tcPr>
          <w:p>
            <w:pPr>
              <w:pStyle w:val="Normal"/>
              <w:jc w:val="center"/>
              <w:rPr>
                <w:rFonts w:ascii="Times New Roman" w:hAnsi="Times New Roman" w:eastAsia="Arial Unicode MS" w:cs="Times New Roman"/>
                <w:b/>
                <w:bCs/>
              </w:rPr>
            </w:pPr>
            <w:r>
              <w:rPr>
                <w:rFonts w:cs="Times New Roman" w:ascii="Times New Roman" w:hAnsi="Times New Roman"/>
                <w:b/>
                <w:bCs/>
              </w:rPr>
              <w:t>Prudency</w:t>
            </w:r>
          </w:p>
        </w:tc>
        <w:tc>
          <w:tcPr>
            <w:tcW w:w="1300" w:type="dxa"/>
            <w:tcBorders/>
            <w:shd w:fill="C0C0C0" w:val="clear"/>
            <w:vAlign w:val="bottom"/>
          </w:tcPr>
          <w:p>
            <w:pPr>
              <w:pStyle w:val="Normal"/>
              <w:jc w:val="center"/>
              <w:rPr>
                <w:rFonts w:ascii="Times New Roman" w:hAnsi="Times New Roman" w:eastAsia="Arial Unicode MS" w:cs="Times New Roman"/>
                <w:b/>
                <w:bCs/>
              </w:rPr>
            </w:pPr>
            <w:r>
              <w:rPr>
                <w:rFonts w:cs="Times New Roman" w:ascii="Times New Roman" w:hAnsi="Times New Roman"/>
                <w:b/>
                <w:bCs/>
              </w:rPr>
              <w:t>Realized</w:t>
            </w:r>
          </w:p>
        </w:tc>
        <w:tc>
          <w:tcPr>
            <w:tcW w:w="1300" w:type="dxa"/>
            <w:tcBorders/>
            <w:shd w:fill="C0C0C0" w:val="clear"/>
            <w:vAlign w:val="bottom"/>
          </w:tcPr>
          <w:p>
            <w:pPr>
              <w:pStyle w:val="Normal"/>
              <w:jc w:val="center"/>
              <w:rPr>
                <w:rFonts w:ascii="Times New Roman" w:hAnsi="Times New Roman" w:eastAsia="Arial Unicode MS" w:cs="Times New Roman"/>
                <w:b/>
                <w:bCs/>
              </w:rPr>
            </w:pPr>
            <w:r>
              <w:rPr>
                <w:rFonts w:cs="Times New Roman" w:ascii="Times New Roman" w:hAnsi="Times New Roman"/>
                <w:b/>
                <w:bCs/>
              </w:rPr>
              <w:t>Liquidations</w:t>
            </w:r>
          </w:p>
        </w:tc>
        <w:tc>
          <w:tcPr>
            <w:tcW w:w="1300" w:type="dxa"/>
            <w:tcBorders>
              <w:end w:val="single" w:sz="8" w:space="0" w:color="000000"/>
            </w:tcBorders>
            <w:shd w:fill="C0C0C0" w:val="clear"/>
            <w:vAlign w:val="bottom"/>
          </w:tcPr>
          <w:p>
            <w:pPr>
              <w:pStyle w:val="Normal"/>
              <w:jc w:val="center"/>
              <w:rPr>
                <w:rFonts w:ascii="Times New Roman" w:hAnsi="Times New Roman" w:eastAsia="Arial Unicode MS" w:cs="Times New Roman"/>
                <w:b/>
                <w:bCs/>
              </w:rPr>
            </w:pPr>
            <w:r>
              <w:rPr>
                <w:rFonts w:cs="Times New Roman" w:ascii="Times New Roman" w:hAnsi="Times New Roman"/>
                <w:b/>
                <w:bCs/>
              </w:rPr>
              <w:t>Brokerge</w:t>
            </w:r>
          </w:p>
        </w:tc>
      </w:tr>
      <w:tr>
        <w:trPr>
          <w:trHeight w:val="270" w:hRule="atLeast"/>
        </w:trPr>
        <w:tc>
          <w:tcPr>
            <w:tcW w:w="1300" w:type="dxa"/>
            <w:tcBorders>
              <w:start w:val="single" w:sz="8" w:space="0" w:color="000000"/>
              <w:bottom w:val="single" w:sz="8" w:space="0" w:color="000000"/>
            </w:tcBorders>
            <w:vAlign w:val="bottom"/>
          </w:tcPr>
          <w:p>
            <w:pPr>
              <w:pStyle w:val="Normal"/>
              <w:rPr>
                <w:rFonts w:ascii="Times New Roman" w:hAnsi="Times New Roman" w:eastAsia="Arial Unicode MS" w:cs="Times New Roman"/>
              </w:rPr>
            </w:pPr>
            <w:r>
              <w:rPr>
                <w:rFonts w:cs="Times New Roman" w:ascii="Times New Roman" w:hAnsi="Times New Roman"/>
              </w:rPr>
              <w:t xml:space="preserve">                        </w:t>
            </w:r>
            <w:r>
              <w:rPr>
                <w:rFonts w:cs="Times New Roman" w:ascii="Times New Roman" w:hAnsi="Times New Roman"/>
              </w:rPr>
              <w:t>-</w:t>
            </w:r>
          </w:p>
        </w:tc>
        <w:tc>
          <w:tcPr>
            <w:tcW w:w="1300" w:type="dxa"/>
            <w:tcBorders>
              <w:bottom w:val="single" w:sz="8" w:space="0" w:color="000000"/>
            </w:tcBorders>
            <w:vAlign w:val="bottom"/>
          </w:tcPr>
          <w:p>
            <w:pPr>
              <w:pStyle w:val="Normal"/>
              <w:rPr>
                <w:rFonts w:ascii="Times New Roman" w:hAnsi="Times New Roman" w:eastAsia="Arial Unicode MS" w:cs="Times New Roman"/>
              </w:rPr>
            </w:pPr>
            <w:r>
              <w:rPr>
                <w:rFonts w:cs="Times New Roman" w:ascii="Times New Roman" w:hAnsi="Times New Roman"/>
              </w:rPr>
              <w:t xml:space="preserve">                       </w:t>
            </w:r>
            <w:r>
              <w:rPr>
                <w:rFonts w:cs="Times New Roman" w:ascii="Times New Roman" w:hAnsi="Times New Roman"/>
              </w:rPr>
              <w:t xml:space="preserve">-   </w:t>
            </w:r>
          </w:p>
        </w:tc>
        <w:tc>
          <w:tcPr>
            <w:tcW w:w="1300" w:type="dxa"/>
            <w:tcBorders>
              <w:bottom w:val="single" w:sz="8" w:space="0" w:color="000000"/>
            </w:tcBorders>
            <w:vAlign w:val="bottom"/>
          </w:tcPr>
          <w:p>
            <w:pPr>
              <w:pStyle w:val="Normal"/>
              <w:rPr>
                <w:rFonts w:ascii="Times New Roman" w:hAnsi="Times New Roman" w:eastAsia="Arial Unicode MS" w:cs="Times New Roman"/>
              </w:rPr>
            </w:pPr>
            <w:r>
              <w:rPr>
                <w:rFonts w:cs="Times New Roman" w:ascii="Times New Roman" w:hAnsi="Times New Roman"/>
              </w:rPr>
              <w:t xml:space="preserve">                       </w:t>
            </w:r>
            <w:r>
              <w:rPr>
                <w:rFonts w:cs="Times New Roman" w:ascii="Times New Roman" w:hAnsi="Times New Roman"/>
              </w:rPr>
              <w:t xml:space="preserve">-   </w:t>
            </w:r>
          </w:p>
        </w:tc>
        <w:tc>
          <w:tcPr>
            <w:tcW w:w="1300" w:type="dxa"/>
            <w:tcBorders>
              <w:bottom w:val="single" w:sz="8" w:space="0" w:color="000000"/>
            </w:tcBorders>
            <w:vAlign w:val="bottom"/>
          </w:tcPr>
          <w:p>
            <w:pPr>
              <w:pStyle w:val="Normal"/>
              <w:rPr>
                <w:rFonts w:ascii="Times New Roman" w:hAnsi="Times New Roman" w:eastAsia="Arial Unicode MS" w:cs="Times New Roman"/>
              </w:rPr>
            </w:pPr>
            <w:r>
              <w:rPr>
                <w:rFonts w:cs="Times New Roman" w:ascii="Times New Roman" w:hAnsi="Times New Roman"/>
              </w:rPr>
              <w:t xml:space="preserve">                        </w:t>
            </w:r>
            <w:r>
              <w:rPr>
                <w:rFonts w:cs="Times New Roman" w:ascii="Times New Roman" w:hAnsi="Times New Roman"/>
              </w:rPr>
              <w:t xml:space="preserve">-   </w:t>
            </w:r>
          </w:p>
        </w:tc>
        <w:tc>
          <w:tcPr>
            <w:tcW w:w="1300" w:type="dxa"/>
            <w:tcBorders>
              <w:bottom w:val="single" w:sz="8" w:space="0" w:color="000000"/>
            </w:tcBorders>
            <w:vAlign w:val="bottom"/>
          </w:tcPr>
          <w:p>
            <w:pPr>
              <w:pStyle w:val="Normal"/>
              <w:rPr>
                <w:rFonts w:ascii="Times New Roman" w:hAnsi="Times New Roman" w:eastAsia="Arial Unicode MS" w:cs="Times New Roman"/>
              </w:rPr>
            </w:pPr>
            <w:r>
              <w:rPr>
                <w:rFonts w:cs="Times New Roman" w:ascii="Times New Roman" w:hAnsi="Times New Roman"/>
              </w:rPr>
              <w:t xml:space="preserve">                       </w:t>
            </w:r>
            <w:r>
              <w:rPr>
                <w:rFonts w:cs="Times New Roman" w:ascii="Times New Roman" w:hAnsi="Times New Roman"/>
              </w:rPr>
              <w:t xml:space="preserve">-   </w:t>
            </w:r>
          </w:p>
        </w:tc>
        <w:tc>
          <w:tcPr>
            <w:tcW w:w="1300" w:type="dxa"/>
            <w:tcBorders>
              <w:bottom w:val="single" w:sz="8" w:space="0" w:color="000000"/>
              <w:end w:val="single" w:sz="8" w:space="0" w:color="000000"/>
            </w:tcBorders>
            <w:vAlign w:val="bottom"/>
          </w:tcPr>
          <w:p>
            <w:pPr>
              <w:pStyle w:val="Normal"/>
              <w:rPr>
                <w:rFonts w:ascii="Times New Roman" w:hAnsi="Times New Roman" w:eastAsia="Arial Unicode MS" w:cs="Times New Roman"/>
              </w:rPr>
            </w:pPr>
            <w:r>
              <w:rPr>
                <w:rFonts w:cs="Times New Roman" w:ascii="Times New Roman" w:hAnsi="Times New Roman"/>
              </w:rPr>
              <w:t xml:space="preserve">                       </w:t>
            </w:r>
            <w:r>
              <w:rPr>
                <w:rFonts w:cs="Times New Roman" w:ascii="Times New Roman" w:hAnsi="Times New Roman"/>
              </w:rPr>
              <w:t xml:space="preserve">-   </w:t>
            </w:r>
          </w:p>
        </w:tc>
      </w:tr>
    </w:tbl>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B - Curve Validation</w:t>
      </w:r>
    </w:p>
    <w:p>
      <w:pPr>
        <w:pStyle w:val="MessageHeader"/>
        <w:tabs>
          <w:tab w:val="clear" w:pos="720"/>
          <w:tab w:val="left" w:pos="0" w:leader="none"/>
        </w:tabs>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720" w:start="720"/>
        <w:outlineLvl w:val="0"/>
        <w:rPr>
          <w:rFonts w:ascii="Times New Roman" w:hAnsi="Times New Roman" w:cs="Times New Roman"/>
          <w:b/>
          <w:highlight w:val="green"/>
          <w:u w:val="single"/>
        </w:rPr>
      </w:pPr>
      <w:r>
        <w:rPr>
          <w:rFonts w:cs="Times New Roman" w:ascii="Times New Roman" w:hAnsi="Times New Roman"/>
          <w:b/>
          <w:u w:val="single"/>
        </w:rPr>
        <w:t>1.  Methodology</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The curves have been reviewed using the following criteria. </w:t>
      </w:r>
    </w:p>
    <w:p>
      <w:pPr>
        <w:pStyle w:val="MessageHeader"/>
        <w:numPr>
          <w:ilvl w:val="0"/>
          <w:numId w:val="2"/>
        </w:numPr>
        <w:tabs>
          <w:tab w:val="left" w:pos="0" w:leader="none"/>
          <w:tab w:val="left" w:pos="720" w:leader="none"/>
        </w:tabs>
        <w:rPr>
          <w:rFonts w:ascii="Times New Roman" w:hAnsi="Times New Roman" w:cs="Times New Roman"/>
        </w:rPr>
      </w:pPr>
      <w:r>
        <w:rPr>
          <w:rFonts w:cs="Times New Roman" w:ascii="Times New Roman" w:hAnsi="Times New Roman"/>
        </w:rPr>
        <w:t>Curve Construction for the period Oct 2001 – Mar 2006</w:t>
        <w:tab/>
        <w:tab/>
        <w:tab/>
      </w:r>
    </w:p>
    <w:p>
      <w:pPr>
        <w:pStyle w:val="MessageHeader"/>
        <w:tabs>
          <w:tab w:val="clear" w:pos="720"/>
          <w:tab w:val="left" w:pos="0" w:leader="none"/>
        </w:tabs>
        <w:rPr>
          <w:rFonts w:ascii="Times New Roman" w:hAnsi="Times New Roman" w:cs="Times New Roman"/>
        </w:rPr>
      </w:pPr>
      <w:r>
        <w:rPr>
          <w:rFonts w:cs="Times New Roman" w:ascii="Times New Roman" w:hAnsi="Times New Roman"/>
        </w:rPr>
      </w:r>
    </w:p>
    <w:p>
      <w:pPr>
        <w:pStyle w:val="MessageHeader"/>
        <w:tabs>
          <w:tab w:val="clear" w:pos="720"/>
          <w:tab w:val="left" w:pos="0" w:leader="none"/>
        </w:tabs>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720" w:start="72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2.  Review – Power Delta</w:t>
      </w:r>
    </w:p>
    <w:p>
      <w:pPr>
        <w:pStyle w:val="MessageHeader"/>
        <w:numPr>
          <w:ilvl w:val="0"/>
          <w:numId w:val="0"/>
        </w:numPr>
        <w:tabs>
          <w:tab w:val="clear" w:pos="720"/>
          <w:tab w:val="left" w:pos="0" w:leader="none"/>
        </w:tabs>
        <w:ind w:hanging="0" w:start="0" w:end="0"/>
        <w:outlineLvl w:val="0"/>
        <w:rPr>
          <w:rFonts w:ascii="Times New Roman" w:hAnsi="Times New Roman" w:cs="Times New Roman"/>
          <w:b/>
          <w:bCs/>
        </w:rPr>
      </w:pPr>
      <w:r>
        <w:rPr>
          <w:rFonts w:cs="Times New Roman" w:ascii="Times New Roman" w:hAnsi="Times New Roman"/>
          <w:b/>
          <w:bCs/>
        </w:rPr>
        <w:t>(Vertical axis is JPY per KwH)</w:t>
      </w:r>
    </w:p>
    <w:p>
      <w:pPr>
        <w:pStyle w:val="MessageHeader"/>
        <w:numPr>
          <w:ilvl w:val="0"/>
          <w:numId w:val="0"/>
        </w:numPr>
        <w:tabs>
          <w:tab w:val="clear" w:pos="720"/>
          <w:tab w:val="left" w:pos="0" w:leader="none"/>
        </w:tabs>
        <w:ind w:hanging="0" w:start="0" w:end="0"/>
        <w:outlineLvl w:val="0"/>
        <w:rPr>
          <w:rFonts w:ascii="Times New Roman" w:hAnsi="Times New Roman" w:cs="Times New Roman"/>
          <w:b/>
          <w:bCs/>
          <w:u w:val="single"/>
          <w:lang w:val="en-US" w:eastAsia="en-CA"/>
        </w:rPr>
      </w:pPr>
      <w:r>
        <w:rPr>
          <w:rFonts w:cs="Times New Roman" w:ascii="Times New Roman" w:hAnsi="Times New Roman"/>
          <w:b/>
          <w:bCs/>
          <w:u w:val="single"/>
          <w:lang w:val="en-US" w:eastAsia="en-CA"/>
        </w:rPr>
        <w:drawing>
          <wp:anchor behindDoc="0" distT="0" distB="0" distL="114935" distR="114935" simplePos="0" locked="0" layoutInCell="1" allowOverlap="1" relativeHeight="4">
            <wp:simplePos x="0" y="0"/>
            <wp:positionH relativeFrom="column">
              <wp:posOffset>-62865</wp:posOffset>
            </wp:positionH>
            <wp:positionV relativeFrom="paragraph">
              <wp:posOffset>26670</wp:posOffset>
            </wp:positionV>
            <wp:extent cx="8420100" cy="386778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6"/>
                    <a:srcRect l="-4" t="-9" r="-4" b="-9"/>
                    <a:stretch>
                      <a:fillRect/>
                    </a:stretch>
                  </pic:blipFill>
                  <pic:spPr bwMode="auto">
                    <a:xfrm>
                      <a:off x="0" y="0"/>
                      <a:ext cx="8420100" cy="3867785"/>
                    </a:xfrm>
                    <a:prstGeom prst="rect">
                      <a:avLst/>
                    </a:prstGeom>
                    <a:noFill/>
                  </pic:spPr>
                </pic:pic>
              </a:graphicData>
            </a:graphic>
          </wp:anchor>
        </w:drawing>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 xml:space="preserve">.1  Curve Construction  </w:t>
        <w:tab/>
        <w:tab/>
        <w:tab/>
        <w:t>Oct 2001-Mar 2006</w:t>
      </w:r>
    </w:p>
    <w:p>
      <w:pPr>
        <w:pStyle w:val="MessageHeader"/>
        <w:tabs>
          <w:tab w:val="clear" w:pos="720"/>
          <w:tab w:val="left" w:pos="0" w:leader="none"/>
        </w:tabs>
        <w:ind w:hanging="0" w:start="0" w:end="0"/>
        <w:rPr>
          <w:rFonts w:ascii="Times New Roman" w:hAnsi="Times New Roman" w:cs="Times New Roman"/>
          <w:b/>
          <w:u w:val="single"/>
        </w:rPr>
      </w:pPr>
      <w:r>
        <w:rPr>
          <w:rFonts w:cs="Times New Roman" w:ascii="Times New Roman" w:hAnsi="Times New Roman"/>
          <w:b/>
          <w:u w:val="single"/>
        </w:rPr>
      </w:r>
    </w:p>
    <w:p>
      <w:pPr>
        <w:pStyle w:val="MessageHeader"/>
        <w:tabs>
          <w:tab w:val="clear" w:pos="720"/>
          <w:tab w:val="left" w:pos="0" w:leader="none"/>
        </w:tabs>
        <w:ind w:hanging="0" w:start="0" w:end="0"/>
        <w:rPr/>
      </w:pPr>
      <w:r>
        <w:rPr>
          <w:rFonts w:cs="Times New Roman" w:ascii="Times New Roman" w:hAnsi="Times New Roman"/>
          <w:b/>
        </w:rPr>
        <w:t>The</w:t>
      </w:r>
      <w:r>
        <w:rPr>
          <w:rFonts w:cs="Times New Roman" w:ascii="Times New Roman" w:hAnsi="Times New Roman"/>
        </w:rPr>
        <w:t xml:space="preserve"> </w:t>
      </w:r>
      <w:r>
        <w:rPr>
          <w:rFonts w:cs="Times New Roman" w:ascii="Times New Roman" w:hAnsi="Times New Roman"/>
          <w:b/>
        </w:rPr>
        <w:t>curve did not move during June</w:t>
      </w:r>
      <w:r>
        <w:rPr>
          <w:rFonts w:cs="Times New Roman" w:ascii="Times New Roman" w:hAnsi="Times New Roman"/>
        </w:rPr>
        <w:t>.</w:t>
      </w:r>
    </w:p>
    <w:p>
      <w:pPr>
        <w:pStyle w:val="MessageHeader"/>
        <w:numPr>
          <w:ilvl w:val="0"/>
          <w:numId w:val="0"/>
        </w:numPr>
        <w:tabs>
          <w:tab w:val="clear" w:pos="720"/>
          <w:tab w:val="left" w:pos="0" w:leader="none"/>
        </w:tabs>
        <w:ind w:hanging="0" w:start="0" w:end="0"/>
        <w:outlineLvl w:val="0"/>
        <w:rPr>
          <w:rFonts w:ascii="Times New Roman" w:hAnsi="Times New Roman" w:cs="Times New Roman"/>
          <w:bCs/>
        </w:rPr>
      </w:pPr>
      <w:r>
        <w:rPr>
          <w:rFonts w:cs="Times New Roman" w:ascii="Times New Roman" w:hAnsi="Times New Roman"/>
          <w:bCs/>
        </w:rPr>
      </w:r>
    </w:p>
    <w:p>
      <w:pPr>
        <w:pStyle w:val="MessageHeader"/>
        <w:numPr>
          <w:ilvl w:val="0"/>
          <w:numId w:val="0"/>
        </w:numPr>
        <w:tabs>
          <w:tab w:val="clear" w:pos="720"/>
          <w:tab w:val="left" w:pos="0" w:leader="none"/>
        </w:tabs>
        <w:ind w:hanging="0" w:start="0" w:end="0"/>
        <w:outlineLvl w:val="0"/>
        <w:rPr>
          <w:rFonts w:ascii="Times New Roman" w:hAnsi="Times New Roman" w:cs="Times New Roman"/>
          <w:bCs/>
        </w:rPr>
      </w:pPr>
      <w:r>
        <w:rPr>
          <w:rFonts w:cs="Times New Roman" w:ascii="Times New Roman" w:hAnsi="Times New Roman"/>
          <w:bCs/>
        </w:rPr>
        <w:t xml:space="preserve">Currently there is no liquid market for Power in Japan, and the market transparency is non existent. The deal completed in January  was the first of its type in Japan. From time to time one reads about executed deals in the press, but usually no specific volume or prices are disclosed. There is no active brokered (OTC) market in Japan for the moment. The market is divided into ten different areas, with one utility (EPCO = Electric Power Company) being dominant in each, as they used to be in the monopoly era. The market was opened for large industrials and commercials in April 2000. </w:t>
      </w:r>
    </w:p>
    <w:p>
      <w:pPr>
        <w:pStyle w:val="MessageHeader"/>
        <w:numPr>
          <w:ilvl w:val="0"/>
          <w:numId w:val="0"/>
        </w:numPr>
        <w:tabs>
          <w:tab w:val="clear" w:pos="720"/>
          <w:tab w:val="left" w:pos="0" w:leader="none"/>
        </w:tabs>
        <w:ind w:hanging="0" w:start="0" w:end="0"/>
        <w:outlineLvl w:val="0"/>
        <w:rPr>
          <w:rFonts w:ascii="Times New Roman" w:hAnsi="Times New Roman" w:cs="Times New Roman"/>
          <w:bCs/>
        </w:rPr>
      </w:pPr>
      <w:r>
        <w:rPr>
          <w:rFonts w:cs="Times New Roman" w:ascii="Times New Roman" w:hAnsi="Times New Roman"/>
          <w:bCs/>
        </w:rPr>
      </w:r>
    </w:p>
    <w:p>
      <w:pPr>
        <w:pStyle w:val="MessageHeader"/>
        <w:numPr>
          <w:ilvl w:val="0"/>
          <w:numId w:val="0"/>
        </w:numPr>
        <w:tabs>
          <w:tab w:val="clear" w:pos="720"/>
          <w:tab w:val="left" w:pos="0" w:leader="none"/>
        </w:tabs>
        <w:ind w:hanging="0" w:start="0" w:end="0"/>
        <w:outlineLvl w:val="0"/>
        <w:rPr>
          <w:rFonts w:ascii="Times New Roman" w:hAnsi="Times New Roman" w:cs="Times New Roman"/>
          <w:bCs/>
        </w:rPr>
      </w:pPr>
      <w:r>
        <w:rPr>
          <w:rFonts w:cs="Times New Roman" w:ascii="Times New Roman" w:hAnsi="Times New Roman"/>
          <w:bCs/>
        </w:rPr>
        <w:t>The current deals are in TEPCO’s (Tokyo Electric Power Co) and Tohoku’s region, meaning the only relevant curves for this book are the Tokyo and Tohoku curves. The curves are based on TEPCO’s and Tohoku’s Industrial tariffs as a benchmark. The tariff is set once a year, currently for 2001. This is what makes the curve “sticky” for the moment. The curves in the book are including wheeling (transportation &amp; distribution costs). The profile of the deal is constructed into the curve. The Tohoku deal has a more “baseload” like profile, meaning a more flat profile than the Tepco deal. Thus the curve is also lower. There is also a slight diference in the Industrial tariffs in the two areas, but not significant.</w:t>
      </w:r>
    </w:p>
    <w:p>
      <w:pPr>
        <w:pStyle w:val="MessageHeader"/>
        <w:numPr>
          <w:ilvl w:val="0"/>
          <w:numId w:val="0"/>
        </w:numPr>
        <w:tabs>
          <w:tab w:val="clear" w:pos="720"/>
          <w:tab w:val="left" w:pos="0" w:leader="none"/>
        </w:tabs>
        <w:ind w:hanging="0" w:start="0" w:end="0"/>
        <w:outlineLvl w:val="0"/>
        <w:rPr>
          <w:rFonts w:ascii="Times New Roman" w:hAnsi="Times New Roman" w:cs="Times New Roman"/>
          <w:bCs/>
        </w:rPr>
      </w:pPr>
      <w:r>
        <w:rPr>
          <w:rFonts w:cs="Times New Roman" w:ascii="Times New Roman" w:hAnsi="Times New Roman"/>
          <w:bCs/>
        </w:rPr>
      </w:r>
    </w:p>
    <w:p>
      <w:pPr>
        <w:pStyle w:val="MessageHeader"/>
        <w:numPr>
          <w:ilvl w:val="0"/>
          <w:numId w:val="0"/>
        </w:numPr>
        <w:tabs>
          <w:tab w:val="clear" w:pos="720"/>
          <w:tab w:val="left" w:pos="0" w:leader="none"/>
        </w:tabs>
        <w:ind w:hanging="0" w:start="0" w:end="0"/>
        <w:outlineLvl w:val="0"/>
        <w:rPr>
          <w:rFonts w:ascii="Times New Roman" w:hAnsi="Times New Roman" w:cs="Times New Roman"/>
          <w:bCs/>
        </w:rPr>
      </w:pPr>
      <w:r>
        <w:rPr>
          <w:rFonts w:cs="Times New Roman" w:ascii="Times New Roman" w:hAnsi="Times New Roman"/>
          <w:bCs/>
        </w:rPr>
        <w:t xml:space="preserve">The power curve is currently backwardated. This reflects the current backwardation one now experiences in  the fuel markets such as crude, LNG and coal. Japan heavliy relies on import of these fuels, as their capacity is based on a mix of a well deversified fuel supply. As well as this we expect competition on the supply side to increase over the course of the next few years, driving the curves down. </w:t>
      </w:r>
    </w:p>
    <w:p>
      <w:pPr>
        <w:pStyle w:val="MessageHeader"/>
        <w:numPr>
          <w:ilvl w:val="0"/>
          <w:numId w:val="0"/>
        </w:numPr>
        <w:tabs>
          <w:tab w:val="clear" w:pos="720"/>
          <w:tab w:val="left" w:pos="0" w:leader="none"/>
        </w:tabs>
        <w:ind w:hanging="0" w:start="0" w:end="0"/>
        <w:outlineLvl w:val="0"/>
        <w:rPr>
          <w:rFonts w:ascii="Times New Roman" w:hAnsi="Times New Roman" w:cs="Times New Roman"/>
          <w:bCs/>
        </w:rPr>
      </w:pPr>
      <w:r>
        <w:rPr>
          <w:rFonts w:cs="Times New Roman" w:ascii="Times New Roman" w:hAnsi="Times New Roman"/>
          <w:bCs/>
        </w:rPr>
      </w:r>
    </w:p>
    <w:p>
      <w:pPr>
        <w:pStyle w:val="MessageHeader"/>
        <w:numPr>
          <w:ilvl w:val="0"/>
          <w:numId w:val="0"/>
        </w:numPr>
        <w:tabs>
          <w:tab w:val="clear" w:pos="720"/>
          <w:tab w:val="left" w:pos="0" w:leader="none"/>
        </w:tabs>
        <w:ind w:hanging="0" w:start="0" w:end="0"/>
        <w:outlineLvl w:val="0"/>
        <w:rPr>
          <w:rFonts w:ascii="Times New Roman" w:hAnsi="Times New Roman" w:cs="Times New Roman"/>
          <w:bCs/>
        </w:rPr>
      </w:pPr>
      <w:r>
        <w:rPr>
          <w:rFonts w:cs="Times New Roman" w:ascii="Times New Roman" w:hAnsi="Times New Roman"/>
          <w:bCs/>
        </w:rPr>
        <w:t xml:space="preserve">The current curve is also an annual baseload curve, where the seasonality is not showing. This due to the nature of our deals, which consists of a strip of annual swaptions. This gives us price levels that are relevant for the strip of Swaptions. We only have a slight exposure for the period of  April 2001 – March 2002, related to the Swaption premium, which is derived from the actual consumption of Nippon Chemi-Con for the same period. </w:t>
      </w:r>
    </w:p>
    <w:p>
      <w:pPr>
        <w:pStyle w:val="MessageHeader"/>
        <w:numPr>
          <w:ilvl w:val="0"/>
          <w:numId w:val="0"/>
        </w:numPr>
        <w:tabs>
          <w:tab w:val="clear" w:pos="720"/>
          <w:tab w:val="left" w:pos="0" w:leader="none"/>
        </w:tabs>
        <w:ind w:hanging="0" w:start="0" w:end="0"/>
        <w:outlineLvl w:val="0"/>
        <w:rPr>
          <w:rFonts w:ascii="Times New Roman" w:hAnsi="Times New Roman" w:cs="Times New Roman"/>
          <w:bCs/>
        </w:rPr>
      </w:pPr>
      <w:r>
        <w:rPr>
          <w:rFonts w:cs="Times New Roman" w:ascii="Times New Roman" w:hAnsi="Times New Roman"/>
          <w:bCs/>
        </w:rPr>
      </w:r>
    </w:p>
    <w:p>
      <w:pPr>
        <w:pStyle w:val="MessageHeader"/>
        <w:numPr>
          <w:ilvl w:val="0"/>
          <w:numId w:val="0"/>
        </w:numPr>
        <w:tabs>
          <w:tab w:val="clear" w:pos="720"/>
          <w:tab w:val="left" w:pos="0" w:leader="none"/>
        </w:tabs>
        <w:ind w:hanging="0" w:start="0" w:end="0"/>
        <w:outlineLvl w:val="0"/>
        <w:rPr>
          <w:rFonts w:ascii="Times New Roman" w:hAnsi="Times New Roman" w:cs="Times New Roman"/>
          <w:bCs/>
        </w:rPr>
      </w:pPr>
      <w:r>
        <w:rPr>
          <w:rFonts w:cs="Times New Roman" w:ascii="Times New Roman" w:hAnsi="Times New Roman"/>
          <w:bCs/>
        </w:rPr>
        <w:t xml:space="preserve">We are expecting the other EPCO’s to lower their tariffs for next year and moving forward. We actually saw a 5% tariff drop late last year from the EPCO’s. Thus the curve is constructed with a baseload eqivalent (based on the counterparty’s profile) of the areas tariff for the current year in the relevant region (including wheeling) and then lowered conservatively by 5% for April 1 2002-March 31 2003, 12% for April 1 2003-March 31 2004,  18% for april 1 2004-March 31 2005 and 24% for April 1 2005-March 31 2006. </w:t>
      </w:r>
    </w:p>
    <w:p>
      <w:pPr>
        <w:pStyle w:val="MessageHeader"/>
        <w:numPr>
          <w:ilvl w:val="0"/>
          <w:numId w:val="0"/>
        </w:numPr>
        <w:tabs>
          <w:tab w:val="clear" w:pos="720"/>
          <w:tab w:val="left" w:pos="0" w:leader="none"/>
        </w:tabs>
        <w:ind w:hanging="0" w:start="0" w:end="0"/>
        <w:outlineLvl w:val="0"/>
        <w:rPr>
          <w:rFonts w:ascii="Times New Roman" w:hAnsi="Times New Roman" w:cs="Times New Roman"/>
          <w:bCs/>
        </w:rPr>
      </w:pPr>
      <w:r>
        <w:rPr>
          <w:rFonts w:cs="Times New Roman" w:ascii="Times New Roman" w:hAnsi="Times New Roman"/>
          <w:bCs/>
        </w:rPr>
      </w:r>
    </w:p>
    <w:p>
      <w:pPr>
        <w:pStyle w:val="MessageHeader"/>
        <w:numPr>
          <w:ilvl w:val="0"/>
          <w:numId w:val="0"/>
        </w:numPr>
        <w:tabs>
          <w:tab w:val="clear" w:pos="720"/>
          <w:tab w:val="left" w:pos="0" w:leader="none"/>
        </w:tabs>
        <w:ind w:hanging="0" w:start="0" w:end="0"/>
        <w:outlineLvl w:val="0"/>
        <w:rPr>
          <w:rFonts w:ascii="Times New Roman" w:hAnsi="Times New Roman" w:cs="Times New Roman"/>
          <w:bCs/>
        </w:rPr>
      </w:pPr>
      <w:r>
        <w:rPr>
          <w:rFonts w:cs="Times New Roman" w:ascii="Times New Roman" w:hAnsi="Times New Roman"/>
          <w:bCs/>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3 Review – Other Risk Variables</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Interest rate risk is not reviewed as it is considered immaterial.  P&amp;L derived from this is not passed to the Interest rate book, this will be evaluated as the cashflow from this book reaches critical mass and we see the need for a Rho/Drift hedge.</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The base currency for the Japanese Power book is Japanese Yen (JPY), which also is the currency of the legal entity. Most of the power trades in Japan are expected to be transected in the local currency. If trades are transacted in other currencies than JPY, these trades will be hedged from deal currency to JPY. The macro P&amp;L curency risk from JPY to USD is unhedged.</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Annual volatility for the TEPCO region is set to 6% for April 1 2002 – March 31 2003, 6%  for April 1 2003 – March 31 2004,  7% for April 1 2004 – March 31 2005 and 8% for April 1 2005 – March 31 2006. For Tohoku the annual volatility is set to 8% for April 1 2002 – March 31 2003 and 8.5% for April 1 2003 – March 31 2004. The volatility is assumed to be higher in this region due to more over capacity, thus mor trading in and out of the region, thus expected to be a more liquid area. In our view these are conservative estimates on the future estimated volatility of this market.The reason for this contango structure is that we expect the market to get more liquid as it gets more deregulated. This will in our view result in a more volatile market. Below is a volatility simulation of P&amp;L changes, when the volatility changes from plus/minus 6% points.  </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pPr>
      <w:r>
        <w:rPr/>
        <w:t>Second order is related to the second and higher order derivatives of time and interest rates and their cross derivatives.</w:t>
      </w:r>
    </w:p>
    <w:tbl>
      <w:tblPr>
        <w:tblW w:w="2985" w:type="dxa"/>
        <w:jc w:val="start"/>
        <w:tblInd w:w="0" w:type="dxa"/>
        <w:tblLayout w:type="fixed"/>
        <w:tblCellMar>
          <w:top w:w="17" w:type="dxa"/>
          <w:start w:w="17" w:type="dxa"/>
          <w:bottom w:w="0" w:type="dxa"/>
          <w:end w:w="17" w:type="dxa"/>
        </w:tblCellMar>
      </w:tblPr>
      <w:tblGrid>
        <w:gridCol w:w="1709"/>
        <w:gridCol w:w="1276"/>
      </w:tblGrid>
      <w:tr>
        <w:trPr>
          <w:trHeight w:val="265" w:hRule="atLeast"/>
        </w:trPr>
        <w:tc>
          <w:tcPr>
            <w:tcW w:w="1709" w:type="dxa"/>
            <w:tcBorders>
              <w:start w:val="single" w:sz="4" w:space="0" w:color="FFFFFF"/>
              <w:end w:val="single" w:sz="4" w:space="0" w:color="FFFFFF"/>
            </w:tcBorders>
            <w:shd w:fill="FFFF00" w:val="clear"/>
            <w:vAlign w:val="bottom"/>
          </w:tcPr>
          <w:p>
            <w:pPr>
              <w:pStyle w:val="Normal"/>
              <w:jc w:val="center"/>
              <w:rPr>
                <w:rFonts w:ascii="Arial Narrow" w:hAnsi="Arial Narrow" w:eastAsia="Arial Unicode MS" w:cs="Arial"/>
                <w:b/>
                <w:bCs/>
                <w:i/>
                <w:i/>
                <w:iCs/>
                <w:u w:val="single"/>
              </w:rPr>
            </w:pPr>
            <w:r>
              <w:rPr>
                <w:rFonts w:cs="Arial" w:ascii="Arial Narrow" w:hAnsi="Arial Narrow"/>
                <w:b/>
                <w:bCs/>
                <w:i/>
                <w:iCs/>
                <w:u w:val="single"/>
              </w:rPr>
              <w:t xml:space="preserve">Down 4% points </w:t>
            </w:r>
          </w:p>
        </w:tc>
        <w:tc>
          <w:tcPr>
            <w:tcW w:w="1276" w:type="dxa"/>
            <w:tcBorders/>
            <w:shd w:fill="FFFF00" w:val="clear"/>
            <w:vAlign w:val="bottom"/>
          </w:tcPr>
          <w:p>
            <w:pPr>
              <w:pStyle w:val="Normal"/>
              <w:rPr>
                <w:rFonts w:ascii="Arial Narrow" w:hAnsi="Arial Narrow" w:eastAsia="Arial Unicode MS" w:cs="Arial"/>
                <w:b/>
                <w:bCs/>
              </w:rPr>
            </w:pPr>
            <w:r>
              <w:rPr>
                <w:rFonts w:eastAsia="Arial Narrow" w:cs="Arial Narrow" w:ascii="Arial Narrow" w:hAnsi="Arial Narrow"/>
                <w:b/>
                <w:bCs/>
              </w:rPr>
              <w:t xml:space="preserve">  </w:t>
            </w:r>
            <w:r>
              <w:rPr>
                <w:rFonts w:cs="Arial" w:ascii="Arial Narrow" w:hAnsi="Arial Narrow"/>
                <w:b/>
                <w:bCs/>
              </w:rPr>
              <w:t>(55,903,912)</w:t>
            </w:r>
          </w:p>
        </w:tc>
      </w:tr>
      <w:tr>
        <w:trPr>
          <w:trHeight w:val="265" w:hRule="atLeast"/>
        </w:trPr>
        <w:tc>
          <w:tcPr>
            <w:tcW w:w="1709" w:type="dxa"/>
            <w:tcBorders>
              <w:start w:val="single" w:sz="4" w:space="0" w:color="FFFFFF"/>
              <w:end w:val="single" w:sz="4" w:space="0" w:color="FFFFFF"/>
            </w:tcBorders>
            <w:shd w:fill="FFFF00" w:val="clear"/>
            <w:vAlign w:val="bottom"/>
          </w:tcPr>
          <w:p>
            <w:pPr>
              <w:pStyle w:val="Normal"/>
              <w:jc w:val="center"/>
              <w:rPr>
                <w:rFonts w:ascii="Arial Narrow" w:hAnsi="Arial Narrow" w:eastAsia="Arial Unicode MS" w:cs="Arial"/>
                <w:b/>
                <w:bCs/>
                <w:i/>
                <w:i/>
                <w:iCs/>
                <w:u w:val="single"/>
              </w:rPr>
            </w:pPr>
            <w:r>
              <w:rPr>
                <w:rFonts w:eastAsia="Arial Narrow" w:cs="Arial Narrow" w:ascii="Arial Narrow" w:hAnsi="Arial Narrow"/>
                <w:b/>
                <w:bCs/>
                <w:i/>
                <w:iCs/>
                <w:u w:val="single"/>
              </w:rPr>
              <w:t xml:space="preserve"> </w:t>
            </w:r>
            <w:r>
              <w:rPr>
                <w:rFonts w:cs="Arial" w:ascii="Arial Narrow" w:hAnsi="Arial Narrow"/>
                <w:b/>
                <w:bCs/>
                <w:i/>
                <w:iCs/>
                <w:u w:val="single"/>
              </w:rPr>
              <w:t xml:space="preserve">Down 3% points </w:t>
            </w:r>
          </w:p>
        </w:tc>
        <w:tc>
          <w:tcPr>
            <w:tcW w:w="1276" w:type="dxa"/>
            <w:tcBorders/>
            <w:shd w:fill="FFFF00" w:val="clear"/>
            <w:vAlign w:val="bottom"/>
          </w:tcPr>
          <w:p>
            <w:pPr>
              <w:pStyle w:val="Normal"/>
              <w:rPr>
                <w:rFonts w:ascii="Arial Narrow" w:hAnsi="Arial Narrow" w:eastAsia="Arial Unicode MS" w:cs="Arial"/>
                <w:b/>
                <w:bCs/>
              </w:rPr>
            </w:pPr>
            <w:r>
              <w:rPr>
                <w:rFonts w:eastAsia="Arial Narrow" w:cs="Arial Narrow" w:ascii="Arial Narrow" w:hAnsi="Arial Narrow"/>
                <w:b/>
                <w:bCs/>
              </w:rPr>
              <w:t xml:space="preserve">  </w:t>
            </w:r>
            <w:r>
              <w:rPr>
                <w:rFonts w:cs="Arial" w:ascii="Arial Narrow" w:hAnsi="Arial Narrow"/>
                <w:b/>
                <w:bCs/>
              </w:rPr>
              <w:t>(44,430,518)</w:t>
            </w:r>
          </w:p>
        </w:tc>
      </w:tr>
      <w:tr>
        <w:trPr>
          <w:trHeight w:val="265" w:hRule="atLeast"/>
        </w:trPr>
        <w:tc>
          <w:tcPr>
            <w:tcW w:w="1709" w:type="dxa"/>
            <w:tcBorders>
              <w:start w:val="single" w:sz="4" w:space="0" w:color="FFFFFF"/>
              <w:end w:val="single" w:sz="4" w:space="0" w:color="FFFFFF"/>
            </w:tcBorders>
            <w:shd w:fill="FFFF00" w:val="clear"/>
            <w:vAlign w:val="bottom"/>
          </w:tcPr>
          <w:p>
            <w:pPr>
              <w:pStyle w:val="Normal"/>
              <w:jc w:val="center"/>
              <w:rPr>
                <w:rFonts w:ascii="Arial Narrow" w:hAnsi="Arial Narrow" w:eastAsia="Arial Unicode MS" w:cs="Arial"/>
                <w:b/>
                <w:bCs/>
                <w:i/>
                <w:i/>
                <w:iCs/>
                <w:u w:val="single"/>
              </w:rPr>
            </w:pPr>
            <w:r>
              <w:rPr>
                <w:rFonts w:eastAsia="Arial Narrow" w:cs="Arial Narrow" w:ascii="Arial Narrow" w:hAnsi="Arial Narrow"/>
                <w:b/>
                <w:bCs/>
                <w:i/>
                <w:iCs/>
                <w:u w:val="single"/>
              </w:rPr>
              <w:t xml:space="preserve"> </w:t>
            </w:r>
            <w:r>
              <w:rPr>
                <w:rFonts w:cs="Arial" w:ascii="Arial Narrow" w:hAnsi="Arial Narrow"/>
                <w:b/>
                <w:bCs/>
                <w:i/>
                <w:iCs/>
                <w:u w:val="single"/>
              </w:rPr>
              <w:t xml:space="preserve">Down 2% points </w:t>
            </w:r>
          </w:p>
        </w:tc>
        <w:tc>
          <w:tcPr>
            <w:tcW w:w="1276" w:type="dxa"/>
            <w:tcBorders/>
            <w:shd w:fill="FFFF00" w:val="clear"/>
            <w:vAlign w:val="bottom"/>
          </w:tcPr>
          <w:p>
            <w:pPr>
              <w:pStyle w:val="Normal"/>
              <w:rPr>
                <w:rFonts w:ascii="Arial Narrow" w:hAnsi="Arial Narrow" w:eastAsia="Arial Unicode MS" w:cs="Arial"/>
                <w:b/>
                <w:bCs/>
              </w:rPr>
            </w:pPr>
            <w:r>
              <w:rPr>
                <w:rFonts w:eastAsia="Arial Narrow" w:cs="Arial Narrow" w:ascii="Arial Narrow" w:hAnsi="Arial Narrow"/>
                <w:b/>
                <w:bCs/>
              </w:rPr>
              <w:t xml:space="preserve">  </w:t>
            </w:r>
            <w:r>
              <w:rPr>
                <w:rFonts w:cs="Arial" w:ascii="Arial Narrow" w:hAnsi="Arial Narrow"/>
                <w:b/>
                <w:bCs/>
              </w:rPr>
              <w:t>(31,144,759)</w:t>
            </w:r>
          </w:p>
        </w:tc>
      </w:tr>
      <w:tr>
        <w:trPr>
          <w:trHeight w:val="265" w:hRule="atLeast"/>
        </w:trPr>
        <w:tc>
          <w:tcPr>
            <w:tcW w:w="1709" w:type="dxa"/>
            <w:tcBorders>
              <w:start w:val="single" w:sz="4" w:space="0" w:color="FFFFFF"/>
              <w:end w:val="single" w:sz="4" w:space="0" w:color="FFFFFF"/>
            </w:tcBorders>
            <w:shd w:fill="FFFF00" w:val="clear"/>
            <w:vAlign w:val="bottom"/>
          </w:tcPr>
          <w:p>
            <w:pPr>
              <w:pStyle w:val="Normal"/>
              <w:jc w:val="center"/>
              <w:rPr>
                <w:rFonts w:ascii="Arial Narrow" w:hAnsi="Arial Narrow" w:eastAsia="Arial Unicode MS" w:cs="Arial"/>
                <w:b/>
                <w:bCs/>
                <w:i/>
                <w:i/>
                <w:iCs/>
                <w:u w:val="single"/>
              </w:rPr>
            </w:pPr>
            <w:r>
              <w:rPr>
                <w:rFonts w:eastAsia="Arial Narrow" w:cs="Arial Narrow" w:ascii="Arial Narrow" w:hAnsi="Arial Narrow"/>
                <w:b/>
                <w:bCs/>
                <w:i/>
                <w:iCs/>
                <w:u w:val="single"/>
              </w:rPr>
              <w:t xml:space="preserve"> </w:t>
            </w:r>
            <w:r>
              <w:rPr>
                <w:rFonts w:cs="Arial" w:ascii="Arial Narrow" w:hAnsi="Arial Narrow"/>
                <w:b/>
                <w:bCs/>
                <w:i/>
                <w:iCs/>
                <w:u w:val="single"/>
              </w:rPr>
              <w:t xml:space="preserve">Down 1% point </w:t>
            </w:r>
          </w:p>
        </w:tc>
        <w:tc>
          <w:tcPr>
            <w:tcW w:w="1276" w:type="dxa"/>
            <w:tcBorders/>
            <w:shd w:fill="FFFF00" w:val="clear"/>
            <w:vAlign w:val="bottom"/>
          </w:tcPr>
          <w:p>
            <w:pPr>
              <w:pStyle w:val="Normal"/>
              <w:rPr>
                <w:rFonts w:ascii="Arial Narrow" w:hAnsi="Arial Narrow" w:eastAsia="Arial Unicode MS" w:cs="Arial"/>
                <w:b/>
                <w:bCs/>
              </w:rPr>
            </w:pPr>
            <w:r>
              <w:rPr>
                <w:rFonts w:eastAsia="Arial Narrow" w:cs="Arial Narrow" w:ascii="Arial Narrow" w:hAnsi="Arial Narrow"/>
                <w:b/>
                <w:bCs/>
              </w:rPr>
              <w:t xml:space="preserve">  </w:t>
            </w:r>
            <w:r>
              <w:rPr>
                <w:rFonts w:cs="Arial" w:ascii="Arial Narrow" w:hAnsi="Arial Narrow"/>
                <w:b/>
                <w:bCs/>
              </w:rPr>
              <w:t>(16,205,042)</w:t>
            </w:r>
          </w:p>
        </w:tc>
      </w:tr>
      <w:tr>
        <w:trPr>
          <w:trHeight w:val="265" w:hRule="atLeast"/>
        </w:trPr>
        <w:tc>
          <w:tcPr>
            <w:tcW w:w="1709" w:type="dxa"/>
            <w:tcBorders>
              <w:start w:val="single" w:sz="4" w:space="0" w:color="FFFFFF"/>
              <w:end w:val="single" w:sz="4" w:space="0" w:color="FFFFFF"/>
            </w:tcBorders>
            <w:shd w:fill="FFFF00" w:val="clear"/>
            <w:vAlign w:val="bottom"/>
          </w:tcPr>
          <w:p>
            <w:pPr>
              <w:pStyle w:val="Normal"/>
              <w:jc w:val="center"/>
              <w:rPr>
                <w:rFonts w:ascii="Arial Narrow" w:hAnsi="Arial Narrow" w:eastAsia="Arial Unicode MS" w:cs="Arial"/>
                <w:b/>
                <w:bCs/>
                <w:i/>
                <w:i/>
                <w:iCs/>
                <w:u w:val="single"/>
              </w:rPr>
            </w:pPr>
            <w:r>
              <w:rPr>
                <w:rFonts w:cs="Arial" w:ascii="Arial Narrow" w:hAnsi="Arial Narrow"/>
                <w:b/>
                <w:bCs/>
                <w:i/>
                <w:iCs/>
                <w:u w:val="single"/>
              </w:rPr>
              <w:t>No Change</w:t>
            </w:r>
          </w:p>
        </w:tc>
        <w:tc>
          <w:tcPr>
            <w:tcW w:w="1276" w:type="dxa"/>
            <w:tcBorders/>
            <w:shd w:fill="FFFF00" w:val="clear"/>
            <w:vAlign w:val="bottom"/>
          </w:tcPr>
          <w:p>
            <w:pPr>
              <w:pStyle w:val="Normal"/>
              <w:rPr>
                <w:rFonts w:ascii="Arial Narrow" w:hAnsi="Arial Narrow" w:eastAsia="Arial Unicode MS" w:cs="Arial"/>
                <w:b/>
                <w:bCs/>
              </w:rPr>
            </w:pPr>
            <w:r>
              <w:rPr>
                <w:rFonts w:eastAsia="Arial Narrow" w:cs="Arial Narrow" w:ascii="Arial Narrow" w:hAnsi="Arial Narrow"/>
                <w:b/>
                <w:bCs/>
              </w:rPr>
              <w:t xml:space="preserve">                   </w:t>
            </w:r>
            <w:r>
              <w:rPr>
                <w:rFonts w:cs="Arial" w:ascii="Arial Narrow" w:hAnsi="Arial Narrow"/>
                <w:b/>
                <w:bCs/>
              </w:rPr>
              <w:t xml:space="preserve">-   </w:t>
            </w:r>
          </w:p>
        </w:tc>
      </w:tr>
      <w:tr>
        <w:trPr>
          <w:trHeight w:val="265" w:hRule="atLeast"/>
        </w:trPr>
        <w:tc>
          <w:tcPr>
            <w:tcW w:w="1709" w:type="dxa"/>
            <w:tcBorders>
              <w:start w:val="single" w:sz="4" w:space="0" w:color="FFFFFF"/>
              <w:end w:val="single" w:sz="4" w:space="0" w:color="FFFFFF"/>
            </w:tcBorders>
            <w:shd w:fill="FFFF00" w:val="clear"/>
            <w:vAlign w:val="bottom"/>
          </w:tcPr>
          <w:p>
            <w:pPr>
              <w:pStyle w:val="Normal"/>
              <w:jc w:val="center"/>
              <w:rPr>
                <w:rFonts w:ascii="Arial Narrow" w:hAnsi="Arial Narrow" w:eastAsia="Arial Unicode MS" w:cs="Arial"/>
                <w:b/>
                <w:bCs/>
                <w:i/>
                <w:i/>
                <w:iCs/>
                <w:u w:val="single"/>
              </w:rPr>
            </w:pPr>
            <w:r>
              <w:rPr>
                <w:rFonts w:eastAsia="Arial Narrow" w:cs="Arial Narrow" w:ascii="Arial Narrow" w:hAnsi="Arial Narrow"/>
                <w:b/>
                <w:bCs/>
                <w:i/>
                <w:iCs/>
                <w:u w:val="single"/>
              </w:rPr>
              <w:t xml:space="preserve"> </w:t>
            </w:r>
            <w:r>
              <w:rPr>
                <w:rFonts w:cs="Arial" w:ascii="Arial Narrow" w:hAnsi="Arial Narrow"/>
                <w:b/>
                <w:bCs/>
                <w:i/>
                <w:iCs/>
                <w:u w:val="single"/>
              </w:rPr>
              <w:t xml:space="preserve">Up 1% point </w:t>
            </w:r>
          </w:p>
        </w:tc>
        <w:tc>
          <w:tcPr>
            <w:tcW w:w="1276" w:type="dxa"/>
            <w:tcBorders/>
            <w:shd w:fill="FFFF00" w:val="clear"/>
            <w:vAlign w:val="bottom"/>
          </w:tcPr>
          <w:p>
            <w:pPr>
              <w:pStyle w:val="Normal"/>
              <w:rPr>
                <w:rFonts w:ascii="Arial Narrow" w:hAnsi="Arial Narrow" w:eastAsia="Arial Unicode MS" w:cs="Arial"/>
                <w:b/>
                <w:bCs/>
              </w:rPr>
            </w:pPr>
            <w:r>
              <w:rPr>
                <w:rFonts w:eastAsia="Arial Narrow" w:cs="Arial Narrow" w:ascii="Arial Narrow" w:hAnsi="Arial Narrow"/>
                <w:b/>
                <w:bCs/>
              </w:rPr>
              <w:t xml:space="preserve">    </w:t>
            </w:r>
            <w:r>
              <w:rPr>
                <w:rFonts w:cs="Arial" w:ascii="Arial Narrow" w:hAnsi="Arial Narrow"/>
                <w:b/>
                <w:bCs/>
              </w:rPr>
              <w:t xml:space="preserve">17,121,065 </w:t>
            </w:r>
          </w:p>
        </w:tc>
      </w:tr>
      <w:tr>
        <w:trPr>
          <w:trHeight w:val="265" w:hRule="atLeast"/>
        </w:trPr>
        <w:tc>
          <w:tcPr>
            <w:tcW w:w="1709" w:type="dxa"/>
            <w:tcBorders>
              <w:start w:val="single" w:sz="4" w:space="0" w:color="FFFFFF"/>
              <w:end w:val="single" w:sz="4" w:space="0" w:color="FFFFFF"/>
            </w:tcBorders>
            <w:shd w:fill="FFFF00" w:val="clear"/>
            <w:vAlign w:val="bottom"/>
          </w:tcPr>
          <w:p>
            <w:pPr>
              <w:pStyle w:val="Normal"/>
              <w:jc w:val="center"/>
              <w:rPr>
                <w:rFonts w:ascii="Arial Narrow" w:hAnsi="Arial Narrow" w:eastAsia="Arial Unicode MS" w:cs="Arial"/>
                <w:b/>
                <w:bCs/>
                <w:i/>
                <w:i/>
                <w:iCs/>
                <w:u w:val="single"/>
              </w:rPr>
            </w:pPr>
            <w:r>
              <w:rPr>
                <w:rFonts w:eastAsia="Arial Narrow" w:cs="Arial Narrow" w:ascii="Arial Narrow" w:hAnsi="Arial Narrow"/>
                <w:b/>
                <w:bCs/>
                <w:i/>
                <w:iCs/>
                <w:u w:val="single"/>
              </w:rPr>
              <w:t xml:space="preserve"> </w:t>
            </w:r>
            <w:r>
              <w:rPr>
                <w:rFonts w:cs="Arial" w:ascii="Arial Narrow" w:hAnsi="Arial Narrow"/>
                <w:b/>
                <w:bCs/>
                <w:i/>
                <w:iCs/>
                <w:u w:val="single"/>
              </w:rPr>
              <w:t xml:space="preserve">Up 2% points </w:t>
            </w:r>
          </w:p>
        </w:tc>
        <w:tc>
          <w:tcPr>
            <w:tcW w:w="1276" w:type="dxa"/>
            <w:tcBorders/>
            <w:shd w:fill="FFFF00" w:val="clear"/>
            <w:vAlign w:val="bottom"/>
          </w:tcPr>
          <w:p>
            <w:pPr>
              <w:pStyle w:val="Normal"/>
              <w:rPr>
                <w:rFonts w:ascii="Arial Narrow" w:hAnsi="Arial Narrow" w:eastAsia="Arial Unicode MS" w:cs="Arial"/>
                <w:b/>
                <w:bCs/>
              </w:rPr>
            </w:pPr>
            <w:r>
              <w:rPr>
                <w:rFonts w:eastAsia="Arial Narrow" w:cs="Arial Narrow" w:ascii="Arial Narrow" w:hAnsi="Arial Narrow"/>
                <w:b/>
                <w:bCs/>
              </w:rPr>
              <w:t xml:space="preserve">    </w:t>
            </w:r>
            <w:r>
              <w:rPr>
                <w:rFonts w:cs="Arial" w:ascii="Arial Narrow" w:hAnsi="Arial Narrow"/>
                <w:b/>
                <w:bCs/>
              </w:rPr>
              <w:t xml:space="preserve">34,901,622 </w:t>
            </w:r>
          </w:p>
        </w:tc>
      </w:tr>
      <w:tr>
        <w:trPr>
          <w:trHeight w:val="265" w:hRule="atLeast"/>
        </w:trPr>
        <w:tc>
          <w:tcPr>
            <w:tcW w:w="1709" w:type="dxa"/>
            <w:tcBorders>
              <w:start w:val="single" w:sz="4" w:space="0" w:color="FFFFFF"/>
              <w:end w:val="single" w:sz="4" w:space="0" w:color="FFFFFF"/>
            </w:tcBorders>
            <w:shd w:fill="FFFF00" w:val="clear"/>
            <w:vAlign w:val="bottom"/>
          </w:tcPr>
          <w:p>
            <w:pPr>
              <w:pStyle w:val="Normal"/>
              <w:jc w:val="center"/>
              <w:rPr>
                <w:rFonts w:ascii="Arial Narrow" w:hAnsi="Arial Narrow" w:eastAsia="Arial Unicode MS" w:cs="Arial"/>
                <w:b/>
                <w:bCs/>
                <w:i/>
                <w:i/>
                <w:iCs/>
                <w:u w:val="single"/>
              </w:rPr>
            </w:pPr>
            <w:r>
              <w:rPr>
                <w:rFonts w:eastAsia="Arial Narrow" w:cs="Arial Narrow" w:ascii="Arial Narrow" w:hAnsi="Arial Narrow"/>
                <w:b/>
                <w:bCs/>
                <w:i/>
                <w:iCs/>
                <w:u w:val="single"/>
              </w:rPr>
              <w:t xml:space="preserve"> </w:t>
            </w:r>
            <w:r>
              <w:rPr>
                <w:rFonts w:cs="Arial" w:ascii="Arial Narrow" w:hAnsi="Arial Narrow"/>
                <w:b/>
                <w:bCs/>
                <w:i/>
                <w:iCs/>
                <w:u w:val="single"/>
              </w:rPr>
              <w:t xml:space="preserve">Up 3% points </w:t>
            </w:r>
          </w:p>
        </w:tc>
        <w:tc>
          <w:tcPr>
            <w:tcW w:w="1276" w:type="dxa"/>
            <w:tcBorders/>
            <w:shd w:fill="FFFF00" w:val="clear"/>
            <w:vAlign w:val="bottom"/>
          </w:tcPr>
          <w:p>
            <w:pPr>
              <w:pStyle w:val="Normal"/>
              <w:rPr>
                <w:rFonts w:ascii="Arial Narrow" w:hAnsi="Arial Narrow" w:eastAsia="Arial Unicode MS" w:cs="Arial"/>
                <w:b/>
                <w:bCs/>
              </w:rPr>
            </w:pPr>
            <w:r>
              <w:rPr>
                <w:rFonts w:eastAsia="Arial Narrow" w:cs="Arial Narrow" w:ascii="Arial Narrow" w:hAnsi="Arial Narrow"/>
                <w:b/>
                <w:bCs/>
              </w:rPr>
              <w:t xml:space="preserve">    </w:t>
            </w:r>
            <w:r>
              <w:rPr>
                <w:rFonts w:cs="Arial" w:ascii="Arial Narrow" w:hAnsi="Arial Narrow"/>
                <w:b/>
                <w:bCs/>
              </w:rPr>
              <w:t xml:space="preserve">53,162,435 </w:t>
            </w:r>
          </w:p>
        </w:tc>
      </w:tr>
      <w:tr>
        <w:trPr>
          <w:trHeight w:val="265" w:hRule="atLeast"/>
        </w:trPr>
        <w:tc>
          <w:tcPr>
            <w:tcW w:w="1709" w:type="dxa"/>
            <w:tcBorders>
              <w:start w:val="single" w:sz="4" w:space="0" w:color="FFFFFF"/>
              <w:end w:val="single" w:sz="4" w:space="0" w:color="FFFFFF"/>
            </w:tcBorders>
            <w:shd w:fill="FFFF00" w:val="clear"/>
            <w:vAlign w:val="bottom"/>
          </w:tcPr>
          <w:p>
            <w:pPr>
              <w:pStyle w:val="Normal"/>
              <w:jc w:val="center"/>
              <w:rPr>
                <w:rFonts w:ascii="Arial Narrow" w:hAnsi="Arial Narrow" w:eastAsia="Arial Unicode MS" w:cs="Arial"/>
                <w:b/>
                <w:bCs/>
                <w:i/>
                <w:i/>
                <w:iCs/>
                <w:u w:val="single"/>
              </w:rPr>
            </w:pPr>
            <w:r>
              <w:rPr>
                <w:rFonts w:eastAsia="Arial Narrow" w:cs="Arial Narrow" w:ascii="Arial Narrow" w:hAnsi="Arial Narrow"/>
                <w:b/>
                <w:bCs/>
                <w:i/>
                <w:iCs/>
                <w:u w:val="single"/>
              </w:rPr>
              <w:t xml:space="preserve"> </w:t>
            </w:r>
            <w:r>
              <w:rPr>
                <w:rFonts w:cs="Arial" w:ascii="Arial Narrow" w:hAnsi="Arial Narrow"/>
                <w:b/>
                <w:bCs/>
                <w:i/>
                <w:iCs/>
                <w:u w:val="single"/>
              </w:rPr>
              <w:t xml:space="preserve">Up 4% points </w:t>
            </w:r>
          </w:p>
        </w:tc>
        <w:tc>
          <w:tcPr>
            <w:tcW w:w="1276" w:type="dxa"/>
            <w:tcBorders/>
            <w:shd w:fill="FFFF00" w:val="clear"/>
            <w:vAlign w:val="bottom"/>
          </w:tcPr>
          <w:p>
            <w:pPr>
              <w:pStyle w:val="Normal"/>
              <w:rPr>
                <w:rFonts w:ascii="Arial Narrow" w:hAnsi="Arial Narrow" w:eastAsia="Arial Unicode MS" w:cs="Arial"/>
                <w:b/>
                <w:bCs/>
              </w:rPr>
            </w:pPr>
            <w:r>
              <w:rPr>
                <w:rFonts w:eastAsia="Arial Narrow" w:cs="Arial Narrow" w:ascii="Arial Narrow" w:hAnsi="Arial Narrow"/>
                <w:b/>
                <w:bCs/>
              </w:rPr>
              <w:t xml:space="preserve">    </w:t>
            </w:r>
            <w:r>
              <w:rPr>
                <w:rFonts w:cs="Arial" w:ascii="Arial Narrow" w:hAnsi="Arial Narrow"/>
                <w:b/>
                <w:bCs/>
              </w:rPr>
              <w:t xml:space="preserve">71,778,597 </w:t>
            </w:r>
          </w:p>
        </w:tc>
      </w:tr>
      <w:tr>
        <w:trPr>
          <w:trHeight w:val="265" w:hRule="atLeast"/>
        </w:trPr>
        <w:tc>
          <w:tcPr>
            <w:tcW w:w="1709" w:type="dxa"/>
            <w:tcBorders>
              <w:start w:val="single" w:sz="4" w:space="0" w:color="FFFFFF"/>
              <w:end w:val="single" w:sz="4" w:space="0" w:color="FFFFFF"/>
            </w:tcBorders>
            <w:shd w:fill="FFFF00" w:val="clear"/>
            <w:vAlign w:val="bottom"/>
          </w:tcPr>
          <w:p>
            <w:pPr>
              <w:pStyle w:val="Normal"/>
              <w:jc w:val="center"/>
              <w:rPr>
                <w:rFonts w:ascii="Arial Narrow" w:hAnsi="Arial Narrow" w:eastAsia="Arial Unicode MS" w:cs="Arial"/>
                <w:b/>
                <w:bCs/>
                <w:i/>
                <w:i/>
                <w:iCs/>
                <w:u w:val="single"/>
              </w:rPr>
            </w:pPr>
            <w:r>
              <w:rPr>
                <w:rFonts w:eastAsia="Arial Narrow" w:cs="Arial Narrow" w:ascii="Arial Narrow" w:hAnsi="Arial Narrow"/>
                <w:b/>
                <w:bCs/>
                <w:i/>
                <w:iCs/>
                <w:u w:val="single"/>
              </w:rPr>
              <w:t xml:space="preserve"> </w:t>
            </w:r>
            <w:r>
              <w:rPr>
                <w:rFonts w:cs="Arial" w:ascii="Arial Narrow" w:hAnsi="Arial Narrow"/>
                <w:b/>
                <w:bCs/>
                <w:i/>
                <w:iCs/>
                <w:u w:val="single"/>
              </w:rPr>
              <w:t xml:space="preserve">Up 5% points </w:t>
            </w:r>
          </w:p>
        </w:tc>
        <w:tc>
          <w:tcPr>
            <w:tcW w:w="1276" w:type="dxa"/>
            <w:tcBorders/>
            <w:shd w:fill="FFFF00" w:val="clear"/>
            <w:vAlign w:val="bottom"/>
          </w:tcPr>
          <w:p>
            <w:pPr>
              <w:pStyle w:val="Normal"/>
              <w:rPr>
                <w:rFonts w:ascii="Arial Narrow" w:hAnsi="Arial Narrow" w:eastAsia="Arial Unicode MS" w:cs="Arial"/>
                <w:b/>
                <w:bCs/>
              </w:rPr>
            </w:pPr>
            <w:r>
              <w:rPr>
                <w:rFonts w:eastAsia="Arial Narrow" w:cs="Arial Narrow" w:ascii="Arial Narrow" w:hAnsi="Arial Narrow"/>
                <w:b/>
                <w:bCs/>
              </w:rPr>
              <w:t xml:space="preserve">    </w:t>
            </w:r>
            <w:r>
              <w:rPr>
                <w:rFonts w:cs="Arial" w:ascii="Arial Narrow" w:hAnsi="Arial Narrow"/>
                <w:b/>
                <w:bCs/>
              </w:rPr>
              <w:t xml:space="preserve">90,661,849 </w:t>
            </w:r>
          </w:p>
        </w:tc>
      </w:tr>
      <w:tr>
        <w:trPr>
          <w:trHeight w:val="265" w:hRule="atLeast"/>
        </w:trPr>
        <w:tc>
          <w:tcPr>
            <w:tcW w:w="1709" w:type="dxa"/>
            <w:tcBorders>
              <w:start w:val="single" w:sz="4" w:space="0" w:color="FFFFFF"/>
              <w:end w:val="single" w:sz="4" w:space="0" w:color="FFFFFF"/>
            </w:tcBorders>
            <w:shd w:fill="FFFF00" w:val="clear"/>
            <w:vAlign w:val="bottom"/>
          </w:tcPr>
          <w:p>
            <w:pPr>
              <w:pStyle w:val="Normal"/>
              <w:jc w:val="center"/>
              <w:rPr>
                <w:rFonts w:ascii="Arial Narrow" w:hAnsi="Arial Narrow" w:eastAsia="Arial Unicode MS" w:cs="Arial"/>
                <w:b/>
                <w:bCs/>
                <w:i/>
                <w:i/>
                <w:iCs/>
                <w:u w:val="single"/>
              </w:rPr>
            </w:pPr>
            <w:r>
              <w:rPr>
                <w:rFonts w:eastAsia="Arial Narrow" w:cs="Arial Narrow" w:ascii="Arial Narrow" w:hAnsi="Arial Narrow"/>
                <w:b/>
                <w:bCs/>
                <w:i/>
                <w:iCs/>
                <w:u w:val="single"/>
              </w:rPr>
              <w:t xml:space="preserve"> </w:t>
            </w:r>
            <w:r>
              <w:rPr>
                <w:rFonts w:cs="Arial" w:ascii="Arial Narrow" w:hAnsi="Arial Narrow"/>
                <w:b/>
                <w:bCs/>
                <w:i/>
                <w:iCs/>
                <w:u w:val="single"/>
              </w:rPr>
              <w:t xml:space="preserve">Up 6% points </w:t>
            </w:r>
          </w:p>
        </w:tc>
        <w:tc>
          <w:tcPr>
            <w:tcW w:w="1276" w:type="dxa"/>
            <w:tcBorders/>
            <w:shd w:fill="FFFF00" w:val="clear"/>
            <w:vAlign w:val="bottom"/>
          </w:tcPr>
          <w:p>
            <w:pPr>
              <w:pStyle w:val="Normal"/>
              <w:rPr>
                <w:rFonts w:ascii="Arial Narrow" w:hAnsi="Arial Narrow" w:eastAsia="Arial Unicode MS" w:cs="Arial"/>
                <w:b/>
                <w:bCs/>
              </w:rPr>
            </w:pPr>
            <w:r>
              <w:rPr>
                <w:rFonts w:eastAsia="Arial Narrow" w:cs="Arial Narrow" w:ascii="Arial Narrow" w:hAnsi="Arial Narrow"/>
                <w:b/>
                <w:bCs/>
              </w:rPr>
              <w:t xml:space="preserve">  </w:t>
            </w:r>
            <w:r>
              <w:rPr>
                <w:rFonts w:cs="Arial" w:ascii="Arial Narrow" w:hAnsi="Arial Narrow"/>
                <w:b/>
                <w:bCs/>
              </w:rPr>
              <w:t xml:space="preserve">109,748,610 </w:t>
            </w:r>
          </w:p>
        </w:tc>
      </w:tr>
    </w:tbl>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b/>
          <w:bCs/>
        </w:rPr>
      </w:pPr>
      <w:r>
        <w:rPr>
          <w:rFonts w:cs="Times New Roman" w:ascii="Times New Roman" w:hAnsi="Times New Roman"/>
          <w:b/>
          <w:bCs/>
        </w:rPr>
        <w:t>Deal listing</w:t>
      </w:r>
    </w:p>
    <w:p>
      <w:pPr>
        <w:pStyle w:val="MessageHeader"/>
        <w:tabs>
          <w:tab w:val="clear" w:pos="720"/>
          <w:tab w:val="left" w:pos="0" w:leader="none"/>
        </w:tabs>
        <w:ind w:hanging="0" w:start="0" w:end="0"/>
        <w:rPr>
          <w:rFonts w:ascii="Times New Roman" w:hAnsi="Times New Roman" w:cs="Times New Roman"/>
          <w:i/>
          <w:i/>
          <w:iCs/>
        </w:rPr>
      </w:pPr>
      <w:r>
        <w:rPr>
          <w:rFonts w:cs="Times New Roman" w:ascii="Times New Roman" w:hAnsi="Times New Roman"/>
          <w:i/>
          <w:iCs/>
        </w:rPr>
        <w:t>Counterparty</w:t>
        <w:tab/>
        <w:tab/>
        <w:t>Type of deal</w:t>
        <w:tab/>
        <w:t>Duration</w:t>
        <w:tab/>
        <w:t xml:space="preserve"> underlying</w:t>
        <w:tab/>
        <w:t>Phys/Fin</w:t>
        <w:tab/>
        <w:tab/>
        <w:t>Annual Volume</w:t>
        <w:tab/>
        <w:t>B/S</w:t>
        <w:tab/>
        <w:t>Put/Call</w:t>
        <w:tab/>
        <w:t>Max Premium</w:t>
        <w:tab/>
        <w:t>Deal Count</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Nippon Chemi Con</w:t>
        <w:tab/>
        <w:t>Swaption</w:t>
        <w:tab/>
        <w:tab/>
        <w:t>Apr 2002-Mar 2006</w:t>
        <w:tab/>
        <w:t>Physical</w:t>
        <w:tab/>
        <w:tab/>
        <w:t>110,000 KwH</w:t>
        <w:tab/>
        <w:t>Buy</w:t>
        <w:tab/>
        <w:t>Put</w:t>
        <w:tab/>
        <w:t>JPY 87,134,520</w:t>
        <w:tab/>
        <w:t>5</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Air Liquide</w:t>
        <w:tab/>
        <w:tab/>
        <w:t>Swaption</w:t>
        <w:tab/>
        <w:tab/>
        <w:t>Apr 2002-Mar 2004</w:t>
        <w:tab/>
        <w:t>Physical</w:t>
        <w:tab/>
        <w:tab/>
        <w:t>24,505 KwH</w:t>
        <w:tab/>
        <w:t>Buy</w:t>
        <w:tab/>
        <w:t>Put</w:t>
        <w:tab/>
        <w:t>JPY 28,326,601</w:t>
        <w:tab/>
        <w:t>3</w:t>
      </w:r>
    </w:p>
    <w:p>
      <w:pPr>
        <w:pStyle w:val="BodyText"/>
        <w:numPr>
          <w:ilvl w:val="0"/>
          <w:numId w:val="0"/>
        </w:numPr>
        <w:spacing w:lineRule="auto" w:line="24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outlineLvl w:val="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outlineLvl w:val="0"/>
        <w:rPr>
          <w:rFonts w:ascii="Times New Roman" w:hAnsi="Times New Roman" w:cs="Times New Roman"/>
          <w:b/>
          <w:u w:val="single"/>
        </w:rPr>
      </w:pPr>
      <w:r>
        <w:rPr>
          <w:rFonts w:cs="Times New Roman" w:ascii="Times New Roman" w:hAnsi="Times New Roman"/>
          <w:b/>
          <w:u w:val="single"/>
        </w:rPr>
        <w:t>C – P&amp;L Commentary</w:t>
      </w:r>
    </w:p>
    <w:p>
      <w:pPr>
        <w:pStyle w:val="BodyText"/>
        <w:numPr>
          <w:ilvl w:val="0"/>
          <w:numId w:val="0"/>
        </w:numPr>
        <w:spacing w:lineRule="auto" w:line="240" w:before="0" w:after="0"/>
        <w:outlineLvl w:val="0"/>
        <w:rPr>
          <w:rFonts w:ascii="Times New Roman" w:hAnsi="Times New Roman" w:cs="Times New Roman"/>
          <w:bCs/>
        </w:rPr>
      </w:pPr>
      <w:r>
        <w:rPr>
          <w:rFonts w:cs="Times New Roman" w:ascii="Times New Roman" w:hAnsi="Times New Roman"/>
          <w:bCs/>
        </w:rPr>
        <w:t>See above.</w:t>
      </w:r>
    </w:p>
    <w:p>
      <w:pPr>
        <w:pStyle w:val="BodyText"/>
        <w:numPr>
          <w:ilvl w:val="0"/>
          <w:numId w:val="0"/>
        </w:numPr>
        <w:spacing w:lineRule="auto" w:line="240" w:before="0" w:after="0"/>
        <w:outlineLvl w:val="0"/>
        <w:rPr>
          <w:rFonts w:ascii="Times New Roman" w:hAnsi="Times New Roman" w:cs="Times New Roman"/>
          <w:b/>
          <w:bCs/>
          <w:u w:val="single"/>
        </w:rPr>
      </w:pPr>
      <w:r>
        <w:rPr>
          <w:rFonts w:cs="Times New Roman" w:ascii="Times New Roman" w:hAnsi="Times New Roman"/>
          <w:b/>
          <w:bCs/>
          <w:u w:val="single"/>
        </w:rPr>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r>
    </w:p>
    <w:sectPr>
      <w:headerReference w:type="default" r:id="rId7"/>
      <w:footerReference w:type="default" r:id="rId8"/>
      <w:type w:val="nextPage"/>
      <w:pgSz w:orient="landscape" w:w="16838" w:h="11906"/>
      <w:pgMar w:left="1440" w:right="1684" w:gutter="0" w:header="720" w:top="1797" w:footer="720" w:bottom="179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jc w:val="center"/>
      <w:rPr>
        <w:rFonts w:ascii="Times New Roman" w:hAnsi="Times New Roman" w:cs="Times New Roman"/>
        <w:sz w:val="28"/>
      </w:rPr>
    </w:pPr>
    <w:r>
      <w:rPr>
        <w:rFonts w:cs="Times New Roman" w:ascii="Times New Roman" w:hAnsi="Times New Roman"/>
        <w:sz w:val="28"/>
      </w:rPr>
      <w:t>Enron Japan - Power – Curve Validation and Profit and Loss Report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GB" w:bidi="ar-SA" w:eastAsia="zh-CN"/>
    </w:rPr>
  </w:style>
  <w:style w:type="paragraph" w:styleId="Heading1">
    <w:name w:val="heading 1"/>
    <w:basedOn w:val="HeadingBase"/>
    <w:next w:val="BodyText"/>
    <w:qFormat/>
    <w:pPr>
      <w:numPr>
        <w:ilvl w:val="0"/>
        <w:numId w:val="1"/>
      </w:numPr>
      <w:spacing w:lineRule="atLeast" w:line="200" w:before="0" w:after="220"/>
      <w:outlineLvl w:val="0"/>
    </w:pPr>
    <w:rPr>
      <w:sz w:val="22"/>
    </w:rPr>
  </w:style>
  <w:style w:type="paragraph" w:styleId="Heading2">
    <w:name w:val="heading 2"/>
    <w:basedOn w:val="HeadingBase"/>
    <w:next w:val="BodyText"/>
    <w:qFormat/>
    <w:pPr>
      <w:numPr>
        <w:ilvl w:val="1"/>
        <w:numId w:val="1"/>
      </w:numPr>
      <w:spacing w:lineRule="atLeast" w:line="200"/>
      <w:outlineLvl w:val="1"/>
    </w:pPr>
    <w:rPr/>
  </w:style>
  <w:style w:type="paragraph" w:styleId="Heading3">
    <w:name w:val="heading 3"/>
    <w:basedOn w:val="HeadingBase"/>
    <w:next w:val="BodyText"/>
    <w:qFormat/>
    <w:pPr>
      <w:numPr>
        <w:ilvl w:val="2"/>
        <w:numId w:val="1"/>
      </w:numPr>
      <w:ind w:hanging="0" w:start="360" w:end="0"/>
      <w:outlineLvl w:val="2"/>
    </w:pPr>
    <w:rPr>
      <w:spacing w:val="-5"/>
    </w:rPr>
  </w:style>
  <w:style w:type="paragraph" w:styleId="Heading4">
    <w:name w:val="heading 4"/>
    <w:basedOn w:val="HeadingBase"/>
    <w:next w:val="BodyText"/>
    <w:qFormat/>
    <w:pPr>
      <w:numPr>
        <w:ilvl w:val="3"/>
        <w:numId w:val="1"/>
      </w:numPr>
      <w:ind w:hanging="0" w:start="720" w:end="0"/>
      <w:outlineLvl w:val="3"/>
    </w:pPr>
    <w:rPr>
      <w:spacing w:val="-2"/>
      <w:sz w:val="18"/>
    </w:rPr>
  </w:style>
  <w:style w:type="paragraph" w:styleId="Heading5">
    <w:name w:val="heading 5"/>
    <w:basedOn w:val="HeadingBase"/>
    <w:next w:val="BodyText"/>
    <w:qFormat/>
    <w:pPr>
      <w:numPr>
        <w:ilvl w:val="4"/>
        <w:numId w:val="1"/>
      </w:numPr>
      <w:ind w:hanging="0" w:start="1080" w:end="0"/>
      <w:outlineLvl w:val="4"/>
    </w:pPr>
    <w:rPr>
      <w:spacing w:val="-2"/>
      <w:sz w:val="18"/>
    </w:rPr>
  </w:style>
  <w:style w:type="paragraph" w:styleId="Heading6">
    <w:name w:val="heading 6"/>
    <w:basedOn w:val="HeadingBase"/>
    <w:next w:val="BodyText"/>
    <w:qFormat/>
    <w:pPr>
      <w:numPr>
        <w:ilvl w:val="5"/>
        <w:numId w:val="1"/>
      </w:numPr>
      <w:ind w:hanging="0" w:start="1440" w:end="0"/>
      <w:outlineLvl w:val="5"/>
    </w:pPr>
    <w:rPr>
      <w:spacing w:val="-4"/>
      <w:sz w:val="18"/>
    </w:rPr>
  </w:style>
  <w:style w:type="paragraph" w:styleId="Heading7">
    <w:name w:val="heading 7"/>
    <w:basedOn w:val="HeadingBase"/>
    <w:next w:val="BodyText"/>
    <w:qFormat/>
    <w:pPr>
      <w:numPr>
        <w:ilvl w:val="6"/>
        <w:numId w:val="1"/>
      </w:numPr>
      <w:ind w:hanging="0" w:start="1800" w:end="0"/>
      <w:outlineLvl w:val="6"/>
    </w:pPr>
    <w:rPr>
      <w:spacing w:val="-4"/>
      <w:sz w:val="18"/>
    </w:rPr>
  </w:style>
  <w:style w:type="paragraph" w:styleId="Heading8">
    <w:name w:val="heading 8"/>
    <w:basedOn w:val="HeadingBase"/>
    <w:next w:val="BodyText"/>
    <w:qFormat/>
    <w:pPr>
      <w:numPr>
        <w:ilvl w:val="7"/>
        <w:numId w:val="1"/>
      </w:numPr>
      <w:ind w:hanging="0" w:start="2160" w:end="0"/>
      <w:outlineLvl w:val="7"/>
    </w:pPr>
    <w:rPr>
      <w:spacing w:val="-4"/>
      <w:sz w:val="18"/>
    </w:rPr>
  </w:style>
  <w:style w:type="paragraph" w:styleId="Heading9">
    <w:name w:val="heading 9"/>
    <w:basedOn w:val="HeadingBase"/>
    <w:next w:val="BodyText"/>
    <w:qFormat/>
    <w:pPr>
      <w:numPr>
        <w:ilvl w:val="8"/>
        <w:numId w:val="1"/>
      </w:numPr>
      <w:ind w:hanging="0" w:start="2520" w:end="0"/>
      <w:outlineLvl w:val="8"/>
    </w:pPr>
    <w:rPr>
      <w:spacing w:val="-4"/>
      <w:sz w:val="18"/>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rFonts w:ascii="Arial Black" w:hAnsi="Arial Black" w:cs="Arial Black"/>
      <w:sz w:val="18"/>
    </w:rPr>
  </w:style>
  <w:style w:type="character" w:styleId="LineNumber">
    <w:name w:val="line number"/>
    <w:basedOn w:val="DefaultParagraphFont"/>
    <w:rPr>
      <w:sz w:val="18"/>
    </w:rPr>
  </w:style>
  <w:style w:type="character" w:styleId="PageNumber">
    <w:name w:val="page number"/>
    <w:basedOn w:val="DefaultParagraphFont"/>
    <w:rPr>
      <w:sz w:val="18"/>
    </w:rPr>
  </w:style>
  <w:style w:type="character" w:styleId="Superscript">
    <w:name w:val="Superscript"/>
    <w:qFormat/>
    <w:rPr>
      <w:vertAlign w:val="superscript"/>
    </w:rPr>
  </w:style>
  <w:style w:type="character" w:styleId="MessageHeaderLabel">
    <w:name w:val="Message Header Label"/>
    <w:qFormat/>
    <w:rPr>
      <w:rFonts w:ascii="Arial Black" w:hAnsi="Arial Black" w:cs="Arial Black"/>
      <w:spacing w:val="-10"/>
      <w:sz w:val="18"/>
    </w:rPr>
  </w:style>
  <w:style w:type="character" w:styleId="Emphasis">
    <w:name w:val="Emphasis"/>
    <w:qFormat/>
    <w:rPr>
      <w:rFonts w:ascii="Arial Black" w:hAnsi="Arial Black" w:cs="Arial Black"/>
      <w:sz w:val="18"/>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20"/>
    </w:pPr>
    <w:rPr>
      <w:i/>
      <w:sz w:val="18"/>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FootnoteBase">
    <w:name w:val="Footnote Base"/>
    <w:basedOn w:val="BodyText"/>
    <w:qFormat/>
    <w:pPr>
      <w:keepLines/>
      <w:spacing w:lineRule="atLeast" w:line="200"/>
    </w:pPr>
    <w:rPr>
      <w:sz w:val="16"/>
    </w:rPr>
  </w:style>
  <w:style w:type="paragraph" w:styleId="MessageHeader">
    <w:name w:val="Message Header"/>
    <w:basedOn w:val="BodyText"/>
    <w:qFormat/>
    <w:pPr>
      <w:keepLines/>
      <w:tabs>
        <w:tab w:val="left" w:pos="720" w:leader="none"/>
      </w:tabs>
      <w:spacing w:before="0" w:after="120"/>
      <w:ind w:hanging="720" w:start="720" w:end="0"/>
      <w:jc w:val="start"/>
    </w:pPr>
    <w:rPr/>
  </w:style>
  <w:style w:type="paragraph" w:styleId="BlockQuotation">
    <w:name w:val="Block Quotation"/>
    <w:basedOn w:val="BodyText"/>
    <w:qFormat/>
    <w:pPr>
      <w:keepLines/>
      <w:ind w:hanging="0" w:start="720" w:end="72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MessageHeaderFirst"/>
    <w:qFormat/>
    <w:pPr>
      <w:spacing w:lineRule="atLeast" w:line="240" w:before="400" w:after="120"/>
      <w:ind w:hanging="0" w:start="-840" w:end="0"/>
    </w:pPr>
    <w:rPr>
      <w:spacing w:val="0"/>
      <w:sz w:val="108"/>
    </w:rPr>
  </w:style>
  <w:style w:type="paragraph" w:styleId="MessageHeaderFirst">
    <w:name w:val="Message Header First"/>
    <w:basedOn w:val="MessageHeader"/>
    <w:next w:val="MessageHeader"/>
    <w:qFormat/>
    <w:pPr>
      <w:spacing w:before="220" w:after="120"/>
    </w:pPr>
    <w:rPr/>
  </w:style>
  <w:style w:type="paragraph" w:styleId="EndnoteText">
    <w:name w:val="endnote text"/>
    <w:basedOn w:val="FootnoteBase"/>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FootnoteText">
    <w:name w:val="footnote text"/>
    <w:basedOn w:val="FootnoteBase"/>
    <w:pPr/>
    <w:rPr/>
  </w:style>
  <w:style w:type="paragraph" w:styleId="Header">
    <w:name w:val="header"/>
    <w:basedOn w:val="HeaderBase"/>
    <w:pPr>
      <w:spacing w:before="0" w:after="600"/>
    </w:pPr>
    <w:rPr/>
  </w:style>
  <w:style w:type="paragraph" w:styleId="ListBullet">
    <w:name w:val="List Bullet"/>
    <w:basedOn w:val="List"/>
    <w:qFormat/>
    <w:pPr>
      <w:numPr>
        <w:ilvl w:val="0"/>
        <w:numId w:val="4"/>
      </w:numPr>
      <w:ind w:hanging="360" w:start="720" w:end="720"/>
    </w:pPr>
    <w:rPr/>
  </w:style>
  <w:style w:type="paragraph" w:styleId="ListNumber">
    <w:name w:val="List Number"/>
    <w:basedOn w:val="List"/>
    <w:qFormat/>
    <w:pPr>
      <w:numPr>
        <w:ilvl w:val="0"/>
        <w:numId w:val="5"/>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ListNumber5">
    <w:name w:val="List Number 5"/>
    <w:basedOn w:val="ListNumber"/>
    <w:qFormat/>
    <w:pPr>
      <w:numPr>
        <w:ilvl w:val="0"/>
        <w:numId w:val="6"/>
      </w:numPr>
      <w:ind w:hanging="360" w:start="2160" w:end="720"/>
    </w:pPr>
    <w:rPr/>
  </w:style>
  <w:style w:type="paragraph" w:styleId="Date">
    <w:name w:val="Date"/>
    <w:basedOn w:val="BodyText"/>
    <w:qFormat/>
    <w:pPr>
      <w:spacing w:before="0" w:after="0"/>
      <w:jc w:val="start"/>
    </w:pPr>
    <w:rPr/>
  </w:style>
  <w:style w:type="paragraph" w:styleId="ListNumber2">
    <w:name w:val="List Number 2"/>
    <w:basedOn w:val="ListNumber"/>
    <w:qFormat/>
    <w:pPr>
      <w:numPr>
        <w:ilvl w:val="0"/>
        <w:numId w:val="7"/>
      </w:numPr>
      <w:ind w:hanging="360" w:start="1080" w:end="720"/>
    </w:pPr>
    <w:rPr/>
  </w:style>
  <w:style w:type="paragraph" w:styleId="ListNumber3">
    <w:name w:val="List Number 3"/>
    <w:basedOn w:val="ListNumber"/>
    <w:qFormat/>
    <w:pPr>
      <w:numPr>
        <w:ilvl w:val="0"/>
        <w:numId w:val="8"/>
      </w:numPr>
      <w:ind w:hanging="360" w:start="144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losing">
    <w:name w:val="Closing"/>
    <w:basedOn w:val="Normal"/>
    <w:qFormat/>
    <w:pPr>
      <w:keepNext w:val="true"/>
      <w:spacing w:lineRule="atLeast" w:line="220"/>
    </w:pPr>
    <w:rPr/>
  </w:style>
  <w:style w:type="paragraph" w:styleId="CommentText">
    <w:name w:val="Comment Text"/>
    <w:basedOn w:val="FootnoteBase"/>
    <w:qFormat/>
    <w:pPr/>
    <w:rPr/>
  </w:style>
  <w:style w:type="paragraph" w:styleId="BodyText2">
    <w:name w:val="Body Text 2"/>
    <w:basedOn w:val="BodyText"/>
    <w:qFormat/>
    <w:pPr>
      <w:ind w:hanging="0" w:start="360" w:end="0"/>
    </w:pPr>
    <w:rPr/>
  </w:style>
  <w:style w:type="paragraph" w:styleId="NormalIndent">
    <w:name w:val="Normal Indent"/>
    <w:basedOn w:val="Normal"/>
    <w:qFormat/>
    <w:pPr>
      <w:ind w:hanging="0" w:start="720" w:end="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ReturnAddress">
    <w:name w:val="Return Address"/>
    <w:basedOn w:val="Normal"/>
    <w:qFormat/>
    <w:pPr>
      <w:keepLines/>
      <w:tabs>
        <w:tab w:val="clear" w:pos="720"/>
        <w:tab w:val="left" w:pos="2640" w:leader="none"/>
      </w:tabs>
      <w:spacing w:lineRule="atLeast" w:line="200"/>
    </w:pPr>
    <w:rPr>
      <w:spacing w:val="-2"/>
      <w:sz w:val="16"/>
    </w:rPr>
  </w:style>
  <w:style w:type="paragraph" w:styleId="CompanyName">
    <w:name w:val="Company Name"/>
    <w:basedOn w:val="ReturnAddress"/>
    <w:qFormat/>
    <w:pPr>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Enclosure">
    <w:name w:val="Enclosure"/>
    <w:basedOn w:val="BodyText"/>
    <w:next w:val="Normal"/>
    <w:qFormat/>
    <w:pPr>
      <w:keepLines/>
      <w:spacing w:before="220" w:after="220"/>
      <w:jc w:val="start"/>
    </w:pPr>
    <w:rPr/>
  </w:style>
  <w:style w:type="paragraph" w:styleId="ReferenceInitials">
    <w:name w:val="Reference Initials"/>
    <w:basedOn w:val="BodyText"/>
    <w:next w:val="Enclosure"/>
    <w:qFormat/>
    <w:pPr>
      <w:keepNext w:val="true"/>
      <w:keepLines/>
      <w:spacing w:before="0" w:after="0"/>
    </w:pPr>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ReferenceInitials"/>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ListNumber4">
    <w:name w:val="List Number 4"/>
    <w:basedOn w:val="ListNumber"/>
    <w:qFormat/>
    <w:pPr>
      <w:numPr>
        <w:ilvl w:val="0"/>
        <w:numId w:val="9"/>
      </w:numPr>
      <w:ind w:hanging="360" w:start="1800" w:end="720"/>
    </w:pPr>
    <w:rPr/>
  </w:style>
  <w:style w:type="paragraph" w:styleId="ListBullet51">
    <w:name w:val="List Bullet 51"/>
    <w:basedOn w:val="ListBullet"/>
    <w:qFormat/>
    <w:pPr>
      <w:ind w:hanging="360" w:start="216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Body">
    <w:name w:val="Body"/>
    <w:basedOn w:val="Normal"/>
    <w:qFormat/>
    <w:pPr>
      <w:ind w:hanging="0" w:start="72" w:end="0"/>
    </w:pPr>
    <w:rPr>
      <w:color w:val="000080"/>
      <w:spacing w:val="0"/>
      <w:lang w:val="en-US"/>
    </w:rPr>
  </w:style>
  <w:style w:type="paragraph" w:styleId="BodyText3">
    <w:name w:val="Body Text 3"/>
    <w:basedOn w:val="Normal"/>
    <w:qFormat/>
    <w:pPr/>
    <w:rPr>
      <w:rFonts w:ascii="Times New Roman" w:hAnsi="Times New Roman" w:cs="Times New Roman"/>
      <w:color w:val="000080"/>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2001-10-03T22:41:00Z</dcterms:created>
  <dc:creator>Unknown</dc:creator>
  <dc:description/>
  <dc:language>en-CA</dc:language>
  <cp:lastModifiedBy>ahirose</cp:lastModifiedBy>
  <cp:lastPrinted>2001-10-04T08:41:00Z</cp:lastPrinted>
  <dcterms:modified xsi:type="dcterms:W3CDTF">2001-10-04T06:00:00Z</dcterms:modified>
  <cp:revision>5</cp:revision>
  <dc:subject/>
  <dc:title>Helps you design a customized memo</dc:title>
</cp:coreProperties>
</file>