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widowControl/>
        <w:rPr>
          <w:sz w:val="20"/>
        </w:rPr>
      </w:pPr>
      <w:r>
        <w:rPr>
          <w:sz w:val="20"/>
        </w:rPr>
      </w:r>
    </w:p>
    <w:p>
      <w:pPr>
        <w:pStyle w:val="Heading"/>
        <w:widowControl/>
        <w:rPr>
          <w:sz w:val="20"/>
        </w:rPr>
      </w:pPr>
      <w:r>
        <w:rPr>
          <w:sz w:val="20"/>
        </w:rPr>
      </w:r>
    </w:p>
    <w:p>
      <w:pPr>
        <w:pStyle w:val="Heading"/>
        <w:widowControl/>
        <w:rPr>
          <w:sz w:val="20"/>
        </w:rPr>
      </w:pPr>
      <w:r>
        <w:rPr>
          <w:sz w:val="20"/>
        </w:rPr>
        <w:drawing>
          <wp:inline distT="0" distB="0" distL="0" distR="0">
            <wp:extent cx="1003300" cy="98742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4" t="-35" r="-34" b="-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widowControl/>
        <w:rPr/>
      </w:pPr>
      <w:r>
        <w:rPr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965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widowControl/>
              <w:ind w:start="-180" w:end="0"/>
              <w:jc w:val="end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Distribution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91" w:hRule="exact"/>
        </w:trPr>
        <w:tc>
          <w:tcPr>
            <w:tcW w:w="708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jc w:val="end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widowControl/>
              <w:ind w:start="-180" w:end="0"/>
              <w:jc w:val="end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Michael Moscoso/Gary Stadler</w:t>
            </w:r>
          </w:p>
          <w:p>
            <w:pPr>
              <w:pStyle w:val="From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From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From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From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From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ind w:start="-180" w:end="0"/>
              <w:jc w:val="end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widowControl/>
              <w:rPr>
                <w:rFonts w:ascii="Times New Roman" w:hAnsi="Times New Roman" w:cs="Times New Roman"/>
              </w:rPr>
            </w:pPr>
            <w:bookmarkStart w:id="0" w:name="From"/>
            <w:bookmarkEnd w:id="0"/>
            <w:r>
              <w:rPr>
                <w:rFonts w:cs="Times New Roman" w:ascii="Times New Roman" w:hAnsi="Times New Roman"/>
              </w:rPr>
              <w:t>Risk Management</w:t>
            </w:r>
          </w:p>
        </w:tc>
      </w:tr>
      <w:tr>
        <w:trPr>
          <w:trHeight w:val="91" w:hRule="exact"/>
        </w:trPr>
        <w:tc>
          <w:tcPr>
            <w:tcW w:w="708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jc w:val="end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widowControl/>
              <w:ind w:start="-180" w:end="0"/>
              <w:jc w:val="end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Subject:</w:t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January 2000 Curve Validation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widowControl/>
              <w:ind w:start="-180" w:end="0"/>
              <w:jc w:val="end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Date:</w:t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fldChar w:fldCharType="begin"/>
            </w:r>
            <w:r>
              <w:rPr>
                <w:rFonts w:cs="Times New Roman" w:ascii="Times New Roman" w:hAnsi="Times New Roman"/>
              </w:rPr>
              <w:instrText xml:space="preserve"> DATE \@"MMMM\ d', 'yyyy" </w:instrText>
            </w:r>
            <w:r>
              <w:rPr>
                <w:rFonts w:cs="Times New Roman" w:ascii="Times New Roman" w:hAnsi="Times New Roman"/>
              </w:rPr>
              <w:fldChar w:fldCharType="separate"/>
            </w:r>
            <w:r>
              <w:rPr>
                <w:rFonts w:cs="Times New Roman" w:ascii="Times New Roman" w:hAnsi="Times New Roman"/>
              </w:rPr>
              <w:t>September 28, 2025</w:t>
            </w:r>
            <w:r>
              <w:rPr>
                <w:rFonts w:cs="Times New Roman" w:ascii="Times New Roman" w:hAnsi="Times New Roman"/>
              </w:rPr>
              <w:fldChar w:fldCharType="end"/>
            </w:r>
          </w:p>
        </w:tc>
      </w:tr>
    </w:tbl>
    <w:p>
      <w:pPr>
        <w:pStyle w:val="Body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bookmarkStart w:id="1" w:name="StartOfMemo"/>
      <w:bookmarkStart w:id="2" w:name="StartOfMemo"/>
      <w:bookmarkEnd w:id="2"/>
    </w:p>
    <w:p>
      <w:pPr>
        <w:pStyle w:val="Body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partment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This memo documents the review of price curves in use on January 31, 2000. </w:t>
        <w:br/>
      </w:r>
    </w:p>
    <w:p>
      <w:pPr>
        <w:pStyle w:val="Department"/>
        <w:widowControl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Scope</w:t>
      </w:r>
      <w:r>
        <w:rPr>
          <w:rFonts w:cs="Times New Roman" w:ascii="Times New Roman" w:hAnsi="Times New Roman"/>
        </w:rPr>
        <w:br/>
        <w:br/>
        <w:t>The January 2000 curve review included validation of curves in each of the following portfolios:</w:t>
        <w:br/>
      </w:r>
    </w:p>
    <w:p>
      <w:pPr>
        <w:pStyle w:val="Department"/>
        <w:widowControl/>
        <w:ind w:start="3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Coal - 5 curves </w:t>
      </w:r>
    </w:p>
    <w:p>
      <w:pPr>
        <w:pStyle w:val="Department"/>
        <w:widowControl/>
        <w:ind w:start="3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Global Liquids - 14 curves </w:t>
      </w:r>
    </w:p>
    <w:p>
      <w:pPr>
        <w:pStyle w:val="Department"/>
        <w:widowControl/>
        <w:ind w:start="3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Interest Rate/FX  - 96 curves</w:t>
      </w:r>
    </w:p>
    <w:p>
      <w:pPr>
        <w:pStyle w:val="Department"/>
        <w:widowControl/>
        <w:ind w:start="3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North American Natural Gas - 8 curves</w:t>
        <w:br/>
        <w:t>North American Power - 7 curves</w:t>
        <w:br/>
        <w:t>Norwegian Power - 1 curve</w:t>
        <w:br/>
        <w:t>Nox - 1 curve</w:t>
        <w:br/>
        <w:t xml:space="preserve">Paper - 4 curves </w:t>
      </w:r>
    </w:p>
    <w:p>
      <w:pPr>
        <w:pStyle w:val="Department"/>
        <w:widowControl/>
        <w:ind w:start="3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SO2 – 1 curve </w:t>
      </w:r>
    </w:p>
    <w:p>
      <w:pPr>
        <w:pStyle w:val="Department"/>
        <w:widowControl/>
        <w:ind w:start="3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 K Gas - 1 curve</w:t>
        <w:br/>
        <w:t>U K Power - 3 curves</w:t>
      </w:r>
    </w:p>
    <w:p>
      <w:pPr>
        <w:pStyle w:val="Department"/>
        <w:widowControl/>
        <w:ind w:start="3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partment"/>
        <w:widowControl/>
        <w:ind w:start="3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partment"/>
        <w:widowControl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Methodology</w:t>
      </w:r>
      <w:r>
        <w:rPr>
          <w:rFonts w:cs="Times New Roman" w:ascii="Times New Roman" w:hAnsi="Times New Roman"/>
        </w:rPr>
        <w:br/>
        <w:br/>
        <w:t>The curves validated were selected based upon prior month red classification, potential P&amp;L impact or random selection.  The selected curves were reviewed using at least one of the following criteria:</w:t>
        <w:br/>
        <w:br/>
        <w:t>Broker quote/new deal variance</w:t>
        <w:br/>
        <w:t>Curve shift impact</w:t>
        <w:br/>
        <w:t>Curve construction</w:t>
      </w:r>
    </w:p>
    <w:p>
      <w:pPr>
        <w:pStyle w:val="Department"/>
        <w:widowControl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Department"/>
        <w:widowControl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Department"/>
        <w:widowControl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Issues</w:t>
      </w:r>
      <w:r>
        <w:rPr>
          <w:rFonts w:cs="Times New Roman" w:ascii="Times New Roman" w:hAnsi="Times New Roman"/>
        </w:rPr>
        <w:br/>
        <w:br/>
        <w:t>Curves that harbor significant open long-dated positions and limited means of market validation continue to present concern.  The following curves are of particular concern and will be subject to further review:</w:t>
        <w:br/>
      </w:r>
    </w:p>
    <w:p>
      <w:pPr>
        <w:pStyle w:val="Department"/>
        <w:widowControl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European Power (PPP) – The PPP curve has a significant net open position at January 31, 2000 (approx. 28.2 Mil Mwh short).  The position is long-dated.   This curve is considered an issue due to the significant exposure associated with this curve and the lack of market data available to validate it.  </w:t>
      </w:r>
    </w:p>
    <w:p>
      <w:pPr>
        <w:pStyle w:val="Department"/>
        <w:widowControl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U.K. Gas – Comparison to broker quotes results in a variance for the period from February 2000 to March 2003 of £3.2K.  The position, however, is long-dated and extends to 2024.  As a result, the majority of the open position cannot be validated against market data. </w:t>
      </w:r>
    </w:p>
    <w:p>
      <w:pPr>
        <w:pStyle w:val="Department"/>
        <w:widowControl/>
        <w:numPr>
          <w:ilvl w:val="0"/>
          <w:numId w:val="7"/>
        </w:numPr>
        <w:tabs>
          <w:tab w:val="left" w:pos="720" w:leader="none"/>
        </w:tabs>
        <w:ind w:hanging="360" w:start="72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Dubai Crude and Condensate curves are mentioned due to the large P/L sensitivity that each curve exhibits.  However, the fact that the curves are part of a spread mitigates the overall P/L impact to Enron Europe.</w:t>
      </w:r>
    </w:p>
    <w:p>
      <w:pPr>
        <w:pStyle w:val="Department"/>
        <w:widowControl/>
        <w:tabs>
          <w:tab w:val="left" w:pos="720" w:leader="none"/>
        </w:tabs>
        <w:ind w:start="72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partment"/>
        <w:widowControl/>
        <w:tabs>
          <w:tab w:val="left" w:pos="720" w:leader="none"/>
        </w:tabs>
        <w:ind w:start="72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partment"/>
        <w:widowControl/>
        <w:numPr>
          <w:ilvl w:val="0"/>
          <w:numId w:val="2"/>
        </w:numPr>
        <w:tabs>
          <w:tab w:val="left" w:pos="720" w:leader="none"/>
        </w:tabs>
        <w:ind w:hanging="270" w:start="3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Other Comments</w:t>
      </w:r>
    </w:p>
    <w:p>
      <w:pPr>
        <w:pStyle w:val="Department"/>
        <w:widowControl/>
        <w:tabs>
          <w:tab w:val="left" w:pos="720" w:leader="none"/>
        </w:tabs>
        <w:ind w:start="90" w:end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Department"/>
        <w:widowControl/>
        <w:ind w:hanging="360" w:start="72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addition to the above curves, the following curves also require further review:</w:t>
      </w:r>
    </w:p>
    <w:p>
      <w:pPr>
        <w:pStyle w:val="Department"/>
        <w:widowControl/>
        <w:ind w:hanging="360" w:start="72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partment"/>
        <w:widowControl/>
        <w:numPr>
          <w:ilvl w:val="0"/>
          <w:numId w:val="6"/>
        </w:numPr>
        <w:tabs>
          <w:tab w:val="left" w:pos="720" w:leader="none"/>
          <w:tab w:val="left" w:pos="1080" w:leader="none"/>
        </w:tabs>
        <w:ind w:hanging="360" w:start="72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Paper curve PIX-NBSK has a P/L impact of ($656)K for the 1-yr quote compared to Tradition Financial Services  (TFS) quotes.  The 2-yr impact was ($1.569)MM and the 3-yr is ($261)K.  Discussions with the trader indicate that pulp trading is difficult to transact at the moment and the trader prefers to keep pulp curves constant in anticipation of a potential transaction in the near future.  NBSK-US, another pulp curve, has a P/L impact compared to (TFS) quotes of $1.278MM for the 1-yr strip, $1.557MM for the 2-yr strip and $1.507MM for the 3-yr strip. Together, these curves create a conservative P/L impact and will be monitored next month.</w:t>
      </w:r>
    </w:p>
    <w:p>
      <w:pPr>
        <w:pStyle w:val="Department"/>
        <w:widowControl/>
        <w:tabs>
          <w:tab w:val="left" w:pos="720" w:leader="none"/>
          <w:tab w:val="left" w:pos="108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partment"/>
        <w:widowControl/>
        <w:numPr>
          <w:ilvl w:val="0"/>
          <w:numId w:val="2"/>
        </w:numPr>
        <w:tabs>
          <w:tab w:val="left" w:pos="720" w:leader="none"/>
        </w:tabs>
        <w:ind w:hanging="270" w:start="3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Summary</w:t>
      </w:r>
      <w:r>
        <w:rPr>
          <w:rFonts w:cs="Times New Roman" w:ascii="Times New Roman" w:hAnsi="Times New Roman"/>
        </w:rPr>
        <w:br/>
      </w:r>
    </w:p>
    <w:p>
      <w:pPr>
        <w:pStyle w:val="Department"/>
        <w:widowControl/>
        <w:tabs>
          <w:tab w:val="left" w:pos="720" w:leader="none"/>
        </w:tabs>
        <w:ind w:start="360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Based upon the information we obtained during our review, we conclude that, in aggregate, the price curves appear to be </w:t>
        <w:br/>
        <w:t xml:space="preserve">reasonable as valuation inputs on the review date.  In general, comparisons to available broker quotes and/or new deal information resulted in insignificant variances. This analysis confirmed that, in general, curves continue to have a reasonable curve slope and seasonality over time. Increased dialogue on curve staleness and P/L impact of new trades will continue to be a focus in future curve validation analyses.  The lack of readily observable market information regarding some key curves (particularly in the long-dated curves) continues to highlight the need for improvements in collecting independent market data, generating systematic curve analysis and documenting curve assumptions.  </w:t>
      </w:r>
    </w:p>
    <w:p>
      <w:pPr>
        <w:pStyle w:val="Department"/>
        <w:widowControl/>
        <w:tabs>
          <w:tab w:val="left" w:pos="72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partment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br/>
      </w:r>
    </w:p>
    <w:p>
      <w:pPr>
        <w:pStyle w:val="Department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partment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Distribution:</w:t>
        <w:tab/>
        <w:t>Sally Beck</w:t>
      </w:r>
    </w:p>
    <w:p>
      <w:pPr>
        <w:pStyle w:val="Department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Rick Buy</w:t>
      </w:r>
    </w:p>
    <w:p>
      <w:pPr>
        <w:pStyle w:val="Department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Wanda Curry</w:t>
        <w:br/>
        <w:tab/>
        <w:tab/>
        <w:t>Ted Murphy</w:t>
      </w:r>
    </w:p>
    <w:p>
      <w:pPr>
        <w:pStyle w:val="Department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Greg Whalley</w:t>
      </w:r>
    </w:p>
    <w:p>
      <w:pPr>
        <w:pStyle w:val="Department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partment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br/>
        <w:b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default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</w:rPr>
    </w:pPr>
    <w:r>
      <w:rPr>
        <w:b/>
        <w:sz w:val="16"/>
      </w:rPr>
      <w:t>Respect</w:t>
      <w:tab/>
      <w:t>Integrity</w:t>
      <w:tab/>
      <w:t>Communication</w:t>
      <w:tab/>
      <w:t>Excellence</w:t>
    </w:r>
  </w:p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000-469-1 (7/92)</w:t>
    </w:r>
  </w:p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rPr/>
    </w:pPr>
    <w:r>
      <w:rPr/>
      <w:tab/>
      <w:tab/>
      <w:tab/>
      <w:t xml:space="preserve">           </w:t>
    </w:r>
    <w:r>
      <w:rPr>
        <w:sz w:val="20"/>
      </w:rPr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ab/>
      <w:tab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-360045</wp:posOffset>
              </wp:positionV>
              <wp:extent cx="3877310" cy="704850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70485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widowControl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</w:r>
                        </w:p>
                        <w:p>
                          <w:pPr>
                            <w:pStyle w:val="Normal"/>
                            <w:widowControl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5.5pt;mso-wrap-distance-left:9.35pt;mso-wrap-distance-right:9.35pt;mso-wrap-distance-top:0pt;mso-wrap-distance-bottom:0pt;margin-top:-28.35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widowControl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</w:r>
                  </w:p>
                  <w:p>
                    <w:pPr>
                      <w:pStyle w:val="Normal"/>
                      <w:widowControl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3"/>
      <w:numFmt w:val="decimal"/>
      <w:lvlText w:val="%1."/>
      <w:lvlJc w:val="start"/>
      <w:pPr>
        <w:tabs>
          <w:tab w:val="num" w:pos="720"/>
        </w:tabs>
        <w:ind w:start="36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4">
    <w:lvl w:ilvl="0">
      <w:start w:val="1"/>
      <w:numFmt w:val="bullet"/>
      <w:lvlText w:val="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6"/>
      </w:rPr>
    </w:lvl>
  </w:abstractNum>
  <w:abstractNum w:abstractNumId="5">
    <w:lvl w:ilvl="0">
      <w:start w:val="2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6">
    <w:lvl w:ilvl="0">
      <w:start w:val="1"/>
      <w:numFmt w:val="bullet"/>
      <w:lvlText w:val=""/>
      <w:lvlJc w:val="start"/>
      <w:pPr>
        <w:tabs>
          <w:tab w:val="num" w:pos="576"/>
        </w:tabs>
        <w:ind w:start="504" w:hanging="288"/>
      </w:pPr>
      <w:rPr>
        <w:rFonts w:ascii="Wingdings" w:hAnsi="Wingdings" w:cs="Wingdings" w:hint="default"/>
        <w:sz w:val="16"/>
      </w:rPr>
    </w:lvl>
  </w:abstractNum>
  <w:abstractNum w:abstractNumId="7">
    <w:lvl w:ilvl="0">
      <w:start w:val="1"/>
      <w:numFmt w:val="bullet"/>
      <w:lvlText w:val="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6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WW8Num4z0">
    <w:name w:val="WW8Num4z0"/>
    <w:qFormat/>
    <w:rPr>
      <w:rFonts w:ascii="Wingdings" w:hAnsi="Wingdings" w:cs="Wingdings"/>
      <w:sz w:val="16"/>
    </w:rPr>
  </w:style>
  <w:style w:type="character" w:styleId="WW8Num5z0">
    <w:name w:val="WW8Num5z0"/>
    <w:qFormat/>
    <w:rPr>
      <w:rFonts w:ascii="Wingdings" w:hAnsi="Wingdings" w:cs="Wingdings"/>
      <w:sz w:val="16"/>
    </w:rPr>
  </w:style>
  <w:style w:type="character" w:styleId="WW8Num6z0">
    <w:name w:val="WW8Num6z0"/>
    <w:qFormat/>
    <w:rPr>
      <w:rFonts w:ascii="Wingdings" w:hAnsi="Wingdings" w:cs="Wingdings"/>
      <w:sz w:val="16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  <w:sz w:val="16"/>
    </w:rPr>
  </w:style>
  <w:style w:type="character" w:styleId="WW8Num13z0">
    <w:name w:val="WW8Num13z0"/>
    <w:qFormat/>
    <w:rPr>
      <w:rFonts w:ascii="Wingdings" w:hAnsi="Wingdings" w:cs="Wingdings"/>
      <w:sz w:val="16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6z0">
    <w:name w:val="WW8Num16z0"/>
    <w:qFormat/>
    <w:rPr>
      <w:rFonts w:ascii="Wingdings" w:hAnsi="Wingdings" w:cs="Wingdings"/>
      <w:sz w:val="16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8z0">
    <w:name w:val="WW8Num18z0"/>
    <w:qFormat/>
    <w:rPr>
      <w:rFonts w:ascii="Wingdings" w:hAnsi="Wingdings" w:cs="Wingdings"/>
      <w:sz w:val="16"/>
    </w:rPr>
  </w:style>
  <w:style w:type="character" w:styleId="WW8Num21z0">
    <w:name w:val="WW8Num21z0"/>
    <w:qFormat/>
    <w:rPr>
      <w:rFonts w:ascii="Wingdings" w:hAnsi="Wingdings" w:cs="Wingdings"/>
      <w:sz w:val="16"/>
    </w:rPr>
  </w:style>
  <w:style w:type="character" w:styleId="WW8Num24z0">
    <w:name w:val="WW8Num24z0"/>
    <w:qFormat/>
    <w:rPr>
      <w:rFonts w:ascii="Wingdings" w:hAnsi="Wingdings" w:cs="Wingdings"/>
      <w:sz w:val="16"/>
    </w:rPr>
  </w:style>
  <w:style w:type="character" w:styleId="WW8Num25z0">
    <w:name w:val="WW8Num25z0"/>
    <w:qFormat/>
    <w:rPr>
      <w:rFonts w:ascii="Wingdings" w:hAnsi="Wingdings" w:cs="Wingdings"/>
      <w:sz w:val="16"/>
    </w:rPr>
  </w:style>
  <w:style w:type="character" w:styleId="WW8NumSt4z0">
    <w:name w:val="WW8NumSt4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Ectmemo.dot</Template>
  <TotalTime>89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2000-02-07T16:22:00Z</dcterms:created>
  <dc:creator>appinst</dc:creator>
  <dc:description/>
  <dc:language>en-CA</dc:language>
  <cp:lastModifiedBy>gstadle</cp:lastModifiedBy>
  <cp:lastPrinted>2000-02-15T16:42:00Z</cp:lastPrinted>
  <dcterms:modified xsi:type="dcterms:W3CDTF">2000-02-15T20:23:00Z</dcterms:modified>
  <cp:revision>13</cp:revision>
  <dc:subject/>
  <dc:title>Eron Capital &amp; Trade Resources Memo</dc:title>
</cp:coreProperties>
</file>