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540" w:leader="none"/>
          <w:tab w:val="right" w:pos="6120" w:leader="none"/>
          <w:tab w:val="right" w:pos="9360" w:leader="none"/>
        </w:tabs>
        <w:rPr>
          <w:sz w:val="22"/>
          <w:szCs w:val="22"/>
        </w:rPr>
      </w:pPr>
      <w:r>
        <w:rPr>
          <w:sz w:val="20"/>
          <w:szCs w:val="20"/>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716915" cy="703580"/>
                    </a:xfrm>
                    <a:prstGeom prst="rect">
                      <a:avLst/>
                    </a:prstGeom>
                    <a:noFill/>
                  </pic:spPr>
                </pic:pic>
              </a:graphicData>
            </a:graphic>
          </wp:inline>
        </w:drawing>
      </w:r>
    </w:p>
    <w:p>
      <w:pPr>
        <w:pStyle w:val="Heading"/>
        <w:rPr>
          <w:sz w:val="22"/>
          <w:szCs w:val="22"/>
        </w:rPr>
      </w:pPr>
      <w:r>
        <w:rPr>
          <w:sz w:val="22"/>
          <w:szCs w:val="22"/>
        </w:rPr>
      </w:r>
    </w:p>
    <w:p>
      <w:pPr>
        <w:pStyle w:val="Normal"/>
        <w:rPr>
          <w:sz w:val="22"/>
          <w:szCs w:val="22"/>
        </w:rPr>
      </w:pPr>
      <w:r>
        <w:rPr>
          <w:b/>
          <w:bCs/>
          <w:i/>
          <w:iCs/>
          <w:sz w:val="22"/>
          <w:szCs w:val="22"/>
        </w:rPr>
        <w:t>Natural Gas, Electricity and Endless Possibilities</w:t>
      </w:r>
    </w:p>
    <w:p>
      <w:pPr>
        <w:pStyle w:val="Normal"/>
        <w:rPr>
          <w:b/>
          <w:bCs/>
          <w:sz w:val="22"/>
          <w:szCs w:val="22"/>
        </w:rPr>
      </w:pPr>
      <w:r>
        <w:rPr>
          <w:b/>
          <w:bCs/>
          <w:sz w:val="22"/>
          <w:szCs w:val="22"/>
        </w:rPr>
        <w:t>ENRON GAS PIPELINE GROUP</w:t>
      </w:r>
    </w:p>
    <w:p>
      <w:pPr>
        <w:pStyle w:val="Normal"/>
        <w:rPr>
          <w:b/>
          <w:bCs/>
          <w:sz w:val="22"/>
          <w:szCs w:val="22"/>
        </w:rPr>
      </w:pPr>
      <w:r>
        <w:rPr>
          <w:b/>
          <w:bCs/>
          <w:sz w:val="22"/>
          <w:szCs w:val="22"/>
        </w:rPr>
      </w:r>
    </w:p>
    <w:p>
      <w:pPr>
        <w:pStyle w:val="Heading"/>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tab/>
      </w:r>
    </w:p>
    <w:tbl>
      <w:tblPr>
        <w:tblW w:w="10261" w:type="dxa"/>
        <w:jc w:val="start"/>
        <w:tblInd w:w="198" w:type="dxa"/>
        <w:tblLayout w:type="fixed"/>
        <w:tblCellMar>
          <w:top w:w="0" w:type="dxa"/>
          <w:start w:w="108" w:type="dxa"/>
          <w:bottom w:w="0" w:type="dxa"/>
          <w:end w:w="108" w:type="dxa"/>
        </w:tblCellMar>
      </w:tblPr>
      <w:tblGrid>
        <w:gridCol w:w="1170"/>
        <w:gridCol w:w="5040"/>
        <w:gridCol w:w="1418"/>
        <w:gridCol w:w="2633"/>
      </w:tblGrid>
      <w:tr>
        <w:trPr>
          <w:trHeight w:val="80" w:hRule="atLeast"/>
        </w:trPr>
        <w:tc>
          <w:tcPr>
            <w:tcW w:w="1170" w:type="dxa"/>
            <w:tcBorders/>
          </w:tcPr>
          <w:p>
            <w:pPr>
              <w:pStyle w:val="Normal"/>
              <w:ind w:start="134" w:end="0"/>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t xml:space="preserve">To: </w:t>
            </w:r>
          </w:p>
        </w:tc>
        <w:tc>
          <w:tcPr>
            <w:tcW w:w="5040" w:type="dxa"/>
            <w:tcBorders/>
          </w:tcPr>
          <w:p>
            <w:pPr>
              <w:pStyle w:val="To"/>
              <w:rPr>
                <w:rFonts w:ascii="Times New Roman" w:hAnsi="Times New Roman" w:eastAsia="Times New Roman" w:cs="Times New Roman"/>
                <w:sz w:val="22"/>
                <w:szCs w:val="22"/>
              </w:rPr>
            </w:pPr>
            <w:bookmarkStart w:id="0" w:name="to"/>
            <w:bookmarkEnd w:id="0"/>
            <w:r>
              <w:rPr>
                <w:rFonts w:eastAsia="CG Times (W1);Times New Roman" w:cs="CG Times (W1);Times New Roman" w:ascii="CG Times (W1);Times New Roman" w:hAnsi="CG Times (W1);Times New Roman"/>
                <w:sz w:val="22"/>
                <w:szCs w:val="22"/>
              </w:rPr>
              <w:t>Distribution</w:t>
            </w:r>
          </w:p>
          <w:p>
            <w:pPr>
              <w:pStyle w:val="To"/>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c>
          <w:tcPr>
            <w:tcW w:w="1418" w:type="dxa"/>
            <w:tcBorders/>
          </w:tcPr>
          <w:p>
            <w:pPr>
              <w:pStyle w:val="Normal"/>
              <w:snapToGrid w:val="false"/>
              <w:ind w:start="-180" w:end="0"/>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c>
          <w:tcPr>
            <w:tcW w:w="2633" w:type="dxa"/>
            <w:tcBorders/>
          </w:tcPr>
          <w:p>
            <w:pPr>
              <w:pStyle w:val="Normal"/>
              <w:snapToGrid w:val="false"/>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r>
      <w:tr>
        <w:trPr>
          <w:trHeight w:val="80" w:hRule="atLeast"/>
        </w:trPr>
        <w:tc>
          <w:tcPr>
            <w:tcW w:w="1170" w:type="dxa"/>
            <w:tcBorders/>
          </w:tcPr>
          <w:p>
            <w:pPr>
              <w:pStyle w:val="Normal"/>
              <w:snapToGrid w:val="false"/>
              <w:ind w:start="-180" w:end="0"/>
              <w:jc w:val="end"/>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c>
          <w:tcPr>
            <w:tcW w:w="5040" w:type="dxa"/>
            <w:tcBorders/>
          </w:tcPr>
          <w:p>
            <w:pPr>
              <w:pStyle w:val="Normal"/>
              <w:snapToGrid w:val="false"/>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c>
          <w:tcPr>
            <w:tcW w:w="1418" w:type="dxa"/>
            <w:tcBorders/>
          </w:tcPr>
          <w:p>
            <w:pPr>
              <w:pStyle w:val="Normal"/>
              <w:snapToGrid w:val="false"/>
              <w:ind w:start="-180" w:end="0"/>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c>
          <w:tcPr>
            <w:tcW w:w="2633" w:type="dxa"/>
            <w:tcBorders/>
          </w:tcPr>
          <w:p>
            <w:pPr>
              <w:pStyle w:val="Normal"/>
              <w:snapToGrid w:val="false"/>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r>
      <w:tr>
        <w:trPr>
          <w:trHeight w:val="80" w:hRule="atLeast"/>
        </w:trPr>
        <w:tc>
          <w:tcPr>
            <w:tcW w:w="1170" w:type="dxa"/>
            <w:tcBorders/>
          </w:tcPr>
          <w:p>
            <w:pPr>
              <w:pStyle w:val="Normal"/>
              <w:ind w:firstLine="28" w:start="134" w:end="0"/>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t>From:</w:t>
            </w:r>
          </w:p>
        </w:tc>
        <w:tc>
          <w:tcPr>
            <w:tcW w:w="5040" w:type="dxa"/>
            <w:tcBorders/>
          </w:tcPr>
          <w:p>
            <w:pPr>
              <w:pStyle w:val="From"/>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t>Jan Butler/ Shelley Corman</w:t>
            </w:r>
          </w:p>
        </w:tc>
        <w:tc>
          <w:tcPr>
            <w:tcW w:w="1418" w:type="dxa"/>
            <w:tcBorders/>
          </w:tcPr>
          <w:p>
            <w:pPr>
              <w:pStyle w:val="Normal"/>
              <w:snapToGrid w:val="false"/>
              <w:ind w:start="-180" w:end="0"/>
              <w:jc w:val="end"/>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c>
          <w:tcPr>
            <w:tcW w:w="2633" w:type="dxa"/>
            <w:tcBorders/>
          </w:tcPr>
          <w:p>
            <w:pPr>
              <w:pStyle w:val="Department"/>
              <w:snapToGrid w:val="false"/>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bookmarkStart w:id="1" w:name="From"/>
            <w:bookmarkStart w:id="2" w:name="From"/>
            <w:bookmarkEnd w:id="2"/>
          </w:p>
        </w:tc>
      </w:tr>
      <w:tr>
        <w:trPr>
          <w:trHeight w:val="80" w:hRule="atLeast"/>
        </w:trPr>
        <w:tc>
          <w:tcPr>
            <w:tcW w:w="1170" w:type="dxa"/>
            <w:tcBorders/>
          </w:tcPr>
          <w:p>
            <w:pPr>
              <w:pStyle w:val="Normal"/>
              <w:snapToGrid w:val="false"/>
              <w:ind w:start="-180" w:end="0"/>
              <w:jc w:val="end"/>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c>
          <w:tcPr>
            <w:tcW w:w="5040" w:type="dxa"/>
            <w:tcBorders/>
          </w:tcPr>
          <w:p>
            <w:pPr>
              <w:pStyle w:val="Normal"/>
              <w:snapToGrid w:val="false"/>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c>
          <w:tcPr>
            <w:tcW w:w="1418" w:type="dxa"/>
            <w:tcBorders/>
          </w:tcPr>
          <w:p>
            <w:pPr>
              <w:pStyle w:val="Normal"/>
              <w:snapToGrid w:val="false"/>
              <w:ind w:start="-180" w:end="0"/>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c>
          <w:tcPr>
            <w:tcW w:w="2633" w:type="dxa"/>
            <w:tcBorders/>
          </w:tcPr>
          <w:p>
            <w:pPr>
              <w:pStyle w:val="Normal"/>
              <w:snapToGrid w:val="false"/>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r>
          </w:p>
        </w:tc>
      </w:tr>
      <w:tr>
        <w:trPr>
          <w:trHeight w:val="80" w:hRule="atLeast"/>
        </w:trPr>
        <w:tc>
          <w:tcPr>
            <w:tcW w:w="1170" w:type="dxa"/>
            <w:tcBorders>
              <w:bottom w:val="single" w:sz="18" w:space="0" w:color="000000"/>
            </w:tcBorders>
          </w:tcPr>
          <w:p>
            <w:pPr>
              <w:pStyle w:val="Normal"/>
              <w:ind w:start="-180" w:end="0"/>
              <w:jc w:val="end"/>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t>Subject:</w:t>
            </w:r>
          </w:p>
        </w:tc>
        <w:tc>
          <w:tcPr>
            <w:tcW w:w="5040" w:type="dxa"/>
            <w:tcBorders>
              <w:bottom w:val="single" w:sz="18" w:space="0" w:color="000000"/>
            </w:tcBorders>
          </w:tcPr>
          <w:p>
            <w:pPr>
              <w:pStyle w:val="Normal"/>
              <w:rPr>
                <w:rFonts w:ascii="Times New Roman" w:hAnsi="Times New Roman" w:eastAsia="Times New Roman" w:cs="Times New Roman"/>
                <w:sz w:val="22"/>
                <w:szCs w:val="22"/>
              </w:rPr>
            </w:pPr>
            <w:bookmarkStart w:id="3" w:name="Subject"/>
            <w:bookmarkEnd w:id="3"/>
            <w:r>
              <w:rPr>
                <w:rFonts w:eastAsia="Times New Roman" w:cs="Times New Roman" w:ascii="Times New Roman" w:hAnsi="Times New Roman"/>
                <w:sz w:val="22"/>
                <w:szCs w:val="22"/>
              </w:rPr>
              <w:t>Weekly FERC Electric Report</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t>January 24 - January 28, 2000</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c>
          <w:tcPr>
            <w:tcW w:w="1418" w:type="dxa"/>
            <w:tcBorders>
              <w:bottom w:val="single" w:sz="18" w:space="0" w:color="000000"/>
            </w:tcBorders>
          </w:tcPr>
          <w:p>
            <w:pPr>
              <w:pStyle w:val="Normal"/>
              <w:ind w:start="-180" w:end="0"/>
              <w:jc w:val="end"/>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t xml:space="preserve">   </w:t>
            </w:r>
            <w:r>
              <w:rPr>
                <w:rFonts w:eastAsia="CG Times (W1);Times New Roman" w:cs="CG Times (W1);Times New Roman" w:ascii="CG Times (W1);Times New Roman" w:hAnsi="CG Times (W1);Times New Roman"/>
                <w:sz w:val="22"/>
                <w:szCs w:val="22"/>
              </w:rPr>
              <w:t>Date:</w:t>
            </w:r>
          </w:p>
        </w:tc>
        <w:tc>
          <w:tcPr>
            <w:tcW w:w="2633" w:type="dxa"/>
            <w:tcBorders>
              <w:bottom w:val="single" w:sz="18" w:space="0" w:color="000000"/>
            </w:tcBorders>
          </w:tcPr>
          <w:p>
            <w:pPr>
              <w:pStyle w:val="Date"/>
              <w:rPr>
                <w:rFonts w:ascii="CG Times (W1);Times New Roman" w:hAnsi="CG Times (W1);Times New Roman" w:eastAsia="CG Times (W1);Times New Roman" w:cs="CG Times (W1);Times New Roman"/>
                <w:sz w:val="22"/>
                <w:szCs w:val="22"/>
              </w:rPr>
            </w:pPr>
            <w:r>
              <w:rPr>
                <w:rFonts w:eastAsia="CG Times (W1);Times New Roman" w:cs="CG Times (W1);Times New Roman" w:ascii="CG Times (W1);Times New Roman" w:hAnsi="CG Times (W1);Times New Roman"/>
                <w:sz w:val="22"/>
                <w:szCs w:val="22"/>
              </w:rPr>
              <w:t>February 22, 2000</w:t>
            </w:r>
          </w:p>
        </w:tc>
      </w:tr>
    </w:tbl>
    <w:p>
      <w:pPr>
        <w:pStyle w:val="Normal"/>
        <w:tabs>
          <w:tab w:val="clear" w:pos="540"/>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540"/>
        </w:tabs>
        <w:ind w:start="72" w:end="0"/>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tabs>
          <w:tab w:val="clear" w:pos="540"/>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GENERAL FERC MATTERS</w:t>
      </w:r>
    </w:p>
    <w:p>
      <w:pPr>
        <w:pStyle w:val="Normal"/>
        <w:tabs>
          <w:tab w:val="clear" w:pos="540"/>
        </w:tabs>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Commissioner Bailey Attends Last Commission Meeting.  </w:t>
      </w:r>
      <w:r>
        <w:rPr>
          <w:rFonts w:eastAsia="Times New Roman" w:cs="Times New Roman" w:ascii="Times New Roman" w:hAnsi="Times New Roman"/>
          <w:sz w:val="22"/>
          <w:szCs w:val="22"/>
        </w:rPr>
        <w:t>Vicky Bailey has attended her last public meeting.  She will be leaving FERC at the end of January.</w:t>
      </w:r>
    </w:p>
    <w:p>
      <w:pPr>
        <w:pStyle w:val="Normal"/>
        <w:numPr>
          <w:ilvl w:val="0"/>
          <w:numId w:val="0"/>
        </w:numPr>
        <w:tabs>
          <w:tab w:val="clear" w:pos="540"/>
        </w:tabs>
        <w:ind w:hanging="0" w:start="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New FERC Web Site </w:t>
      </w:r>
      <w:r>
        <w:rPr>
          <w:rFonts w:eastAsia="Times New Roman" w:cs="Times New Roman" w:ascii="Times New Roman" w:hAnsi="Times New Roman"/>
          <w:sz w:val="22"/>
          <w:szCs w:val="22"/>
        </w:rPr>
        <w:t xml:space="preserve">contains a list of corporate officials designated to receive service (such as complaints).  See FERC web site </w:t>
      </w:r>
      <w:r>
        <w:rPr>
          <w:rFonts w:eastAsia="Times New Roman" w:cs="Times New Roman" w:ascii="Times New Roman" w:hAnsi="Times New Roman"/>
          <w:sz w:val="18"/>
          <w:szCs w:val="18"/>
        </w:rPr>
        <w:t>(</w:t>
      </w:r>
      <w:r>
        <w:rPr>
          <w:rStyle w:val="Hyperlink"/>
          <w:sz w:val="20"/>
          <w:szCs w:val="20"/>
        </w:rPr>
        <w:t>http://www.ferc.fed.us</w:t>
      </w:r>
      <w:r>
        <w:rPr>
          <w:rFonts w:eastAsia="Times New Roman" w:cs="Times New Roman" w:ascii="Times New Roman" w:hAnsi="Times New Roman"/>
          <w:sz w:val="18"/>
          <w:szCs w:val="18"/>
        </w:rPr>
        <w:t xml:space="preserve">) </w:t>
      </w:r>
      <w:r>
        <w:rPr>
          <w:rFonts w:eastAsia="Times New Roman" w:cs="Times New Roman" w:ascii="Times New Roman" w:hAnsi="Times New Roman"/>
          <w:sz w:val="22"/>
          <w:szCs w:val="22"/>
        </w:rPr>
        <w:t xml:space="preserve">and scroll down for </w:t>
      </w:r>
      <w:r>
        <w:rPr>
          <w:rFonts w:eastAsia="Times New Roman" w:cs="Times New Roman" w:ascii="Times New Roman" w:hAnsi="Times New Roman"/>
          <w:sz w:val="22"/>
          <w:szCs w:val="22"/>
          <w:u w:val="single"/>
        </w:rPr>
        <w:t>Corporate Officials/Others to Receive Service</w:t>
      </w:r>
      <w:r>
        <w:rPr>
          <w:rFonts w:eastAsia="Times New Roman" w:cs="Times New Roman" w:ascii="Times New Roman" w:hAnsi="Times New Roman"/>
          <w:sz w:val="22"/>
          <w:szCs w:val="22"/>
        </w:rPr>
        <w:t>.</w:t>
      </w:r>
    </w:p>
    <w:p>
      <w:pPr>
        <w:pStyle w:val="Normal"/>
        <w:numPr>
          <w:ilvl w:val="0"/>
          <w:numId w:val="0"/>
        </w:numPr>
        <w:tabs>
          <w:tab w:val="clear" w:pos="540"/>
        </w:tabs>
        <w:ind w:hanging="0" w:start="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numPr>
          <w:ilvl w:val="0"/>
          <w:numId w:val="0"/>
        </w:numPr>
        <w:tabs>
          <w:tab w:val="clear" w:pos="540"/>
        </w:tabs>
        <w:ind w:hanging="0" w:start="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numPr>
          <w:ilvl w:val="0"/>
          <w:numId w:val="0"/>
        </w:numPr>
        <w:tabs>
          <w:tab w:val="clear" w:pos="540"/>
        </w:tabs>
        <w:ind w:hanging="0" w:start="0"/>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FERC ORDERS/NOTICES</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Open-Access Same-Time Information, EL00-10.  </w:t>
      </w:r>
      <w:r>
        <w:rPr>
          <w:rFonts w:eastAsia="Times New Roman" w:cs="Times New Roman" w:ascii="Times New Roman" w:hAnsi="Times New Roman"/>
          <w:i/>
          <w:iCs/>
          <w:sz w:val="22"/>
          <w:szCs w:val="22"/>
        </w:rPr>
        <w:t xml:space="preserve">Order Denying Motion for Cease and Desist.  </w:t>
      </w:r>
      <w:r>
        <w:rPr>
          <w:rFonts w:eastAsia="Times New Roman" w:cs="Times New Roman" w:ascii="Times New Roman" w:hAnsi="Times New Roman"/>
          <w:sz w:val="22"/>
          <w:szCs w:val="22"/>
        </w:rPr>
        <w:t>On October 27, PECO Energy filed a motion requesting FERC to direct NERC and each OATT provider on file to cease and desist from denying transmission based on electronic tagging and to suspend implementation of tagging until NERC had filed its revised Interchange amendment to each OATT.  [Electronic tagging (E-Tag) was implemented by NERC on September 22, 1999 as a process to improve the speed and efficiency of the tagging process, previously done by e-mail, fax or telephone exchange] PECO argues 1) implementation of E-Tag has failed to improve speed/efficiency; 2) NERC's policy was adopted without "due process"; and 3) transmission providers are exceeding their authority, i.e. collecting information beyond that required by OASIS and are taking action under their OATTs.  The Commission denied PECO's motion as unsupported assertions without proper evidence that would justify the Commission to take any action against NERC.  The order states that NERC has made progress in resolving some of the operational difficulties cited by PECO, such as the default status being denial of reservation, by modifying the e-tag process to permit corrections without submitting a new tag.  Any issue relating to common business practices are being addressed in the OASIS II proceedings and will be addressed in separate proceedings.</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Southwest Power Pool, ER00-713.  </w:t>
      </w:r>
      <w:r>
        <w:rPr>
          <w:rFonts w:eastAsia="Times New Roman" w:cs="Times New Roman" w:ascii="Times New Roman" w:hAnsi="Times New Roman"/>
          <w:i/>
          <w:iCs/>
          <w:sz w:val="22"/>
          <w:szCs w:val="22"/>
        </w:rPr>
        <w:t xml:space="preserve">Order Accepting Amendments Withdrawing Cleco Corporation, Reducing Rates.  </w:t>
      </w:r>
      <w:r>
        <w:rPr>
          <w:rFonts w:eastAsia="Times New Roman" w:cs="Times New Roman" w:ascii="Times New Roman" w:hAnsi="Times New Roman"/>
          <w:sz w:val="22"/>
          <w:szCs w:val="22"/>
        </w:rPr>
        <w:t xml:space="preserve">In an order issued January 28, FERC accepted Southwest Power Pool's amendments to withdraw Cleco from its tariff as a transmission provider and reduce certain rates.  Cleco voluntarily resigned from membership as a result of the changes to the rate structure under the Southwest Power Pool's tariff.  Southwest Power Pool states that there will be a slight decrease in some of the rates for certain services under its tariff.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American Electric Power, ER00-661.  </w:t>
      </w:r>
      <w:r>
        <w:rPr>
          <w:rFonts w:eastAsia="Times New Roman" w:cs="Times New Roman" w:ascii="Times New Roman" w:hAnsi="Times New Roman"/>
          <w:i/>
          <w:iCs/>
          <w:sz w:val="22"/>
          <w:szCs w:val="22"/>
        </w:rPr>
        <w:t xml:space="preserve">Order Accepting Transmission Reassignment.  </w:t>
      </w:r>
      <w:r>
        <w:rPr>
          <w:rFonts w:eastAsia="Times New Roman" w:cs="Times New Roman" w:ascii="Times New Roman" w:hAnsi="Times New Roman"/>
          <w:sz w:val="22"/>
          <w:szCs w:val="22"/>
        </w:rPr>
        <w:t xml:space="preserve">In an order issued January 28, FERC accepted AEP's proposal to resell, assign or transfer capacity in light of the upcoming merger with Central and South West Corporation.  The reassignment is to become effective upon consummation of the merger, but still allows transactions prior to the merger.  AEP proposes to reassign transmission capacity at a price not to exceed the highest of 1) original amount paid by AEP; 2) applicable transmission provider's maximum rate at time of reassignment; and 3) AEP's opportunity costs capped at the applicable provider's cost of expansion at the time of AEP's sale to an eligible customer.  In order to recover opportunity costs, AEP will make a section 205 filing.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Virginia Energy Power, ER00-843.  </w:t>
      </w:r>
      <w:r>
        <w:rPr>
          <w:rFonts w:eastAsia="Times New Roman" w:cs="Times New Roman" w:ascii="Times New Roman" w:hAnsi="Times New Roman"/>
          <w:i/>
          <w:iCs/>
          <w:sz w:val="22"/>
          <w:szCs w:val="22"/>
        </w:rPr>
        <w:t xml:space="preserve">Rate Schedule Designation.  </w:t>
      </w:r>
      <w:r>
        <w:rPr>
          <w:rFonts w:eastAsia="Times New Roman" w:cs="Times New Roman" w:ascii="Times New Roman" w:hAnsi="Times New Roman"/>
          <w:sz w:val="22"/>
          <w:szCs w:val="22"/>
        </w:rPr>
        <w:t xml:space="preserve">In a letter issued January 28, FERC accepted Virginia Energy's revised purchase, network integration and operation agreement schedules to the Town of Enfield.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Wisconsin Electric Power, ER00-919. </w:t>
      </w:r>
      <w:r>
        <w:rPr>
          <w:rFonts w:eastAsia="Times New Roman" w:cs="Times New Roman" w:ascii="Times New Roman" w:hAnsi="Times New Roman"/>
          <w:i/>
          <w:iCs/>
          <w:sz w:val="22"/>
          <w:szCs w:val="22"/>
        </w:rPr>
        <w:t>Rate Schedule Designation.</w:t>
      </w:r>
      <w:r>
        <w:rPr>
          <w:rFonts w:eastAsia="Times New Roman" w:cs="Times New Roman" w:ascii="Times New Roman" w:hAnsi="Times New Roman"/>
          <w:sz w:val="22"/>
          <w:szCs w:val="22"/>
        </w:rPr>
        <w:t xml:space="preserve">  In a letter issued January 28, FERC accepted Wisconsin Electric's amendment to the rate schedule for power sales with Wisconsin Public Power.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City of Wichita, EL99-90.  </w:t>
      </w:r>
      <w:r>
        <w:rPr>
          <w:rFonts w:eastAsia="Times New Roman" w:cs="Times New Roman" w:ascii="Times New Roman" w:hAnsi="Times New Roman"/>
          <w:i/>
          <w:iCs/>
          <w:sz w:val="22"/>
          <w:szCs w:val="22"/>
        </w:rPr>
        <w:t xml:space="preserve">Order Setting Complaint for Hearing.  </w:t>
      </w:r>
      <w:r>
        <w:rPr>
          <w:rFonts w:eastAsia="Times New Roman" w:cs="Times New Roman" w:ascii="Times New Roman" w:hAnsi="Times New Roman"/>
          <w:sz w:val="22"/>
          <w:szCs w:val="22"/>
        </w:rPr>
        <w:t xml:space="preserve">On September 7, 1999 City of Wichita filed a complaint asking FERC to remedy a rate disparity between electric service customers served by Kansas Gas and Electric and Kansas Power and Light, both owned by Western Resources.  According to Wichita, an agreement between Kansas Gas and Kansas Power obligates Western Resources to price capacity transfers at the embedded cost of capacity.  FERC sets Wichita's complaint for hearing.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AES NY, EL00-1.  </w:t>
      </w:r>
      <w:r>
        <w:rPr>
          <w:rFonts w:eastAsia="Times New Roman" w:cs="Times New Roman" w:ascii="Times New Roman" w:hAnsi="Times New Roman"/>
          <w:i/>
          <w:iCs/>
          <w:sz w:val="22"/>
          <w:szCs w:val="22"/>
        </w:rPr>
        <w:t xml:space="preserve">Order Setting Complaint for Hearing.  </w:t>
      </w:r>
      <w:r>
        <w:rPr>
          <w:rFonts w:eastAsia="Times New Roman" w:cs="Times New Roman" w:ascii="Times New Roman" w:hAnsi="Times New Roman"/>
          <w:sz w:val="22"/>
          <w:szCs w:val="22"/>
        </w:rPr>
        <w:t>On October 5, 1999 AES filed a complaint requesting FERC to direct Niagara Mohawk Power Company to comply with a provision under a firm point-to-point transmission service agreement (under the Remote Load Wheeling Agreement) which allows AES to unilaterally convert the service it receives to non-firm service on six months prior notice.  AES also requests that any non-firm service provided under the agreement be priced consistent with the applicable rates for non-firm service.  FERC sets AES's complaint for hearing.</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Minnesota Power and Blandin Paper, EC00-37.  </w:t>
      </w:r>
      <w:r>
        <w:rPr>
          <w:rFonts w:eastAsia="Times New Roman" w:cs="Times New Roman" w:ascii="Times New Roman" w:hAnsi="Times New Roman"/>
          <w:i/>
          <w:iCs/>
          <w:sz w:val="22"/>
          <w:szCs w:val="22"/>
        </w:rPr>
        <w:t>Order for Facilities Disposition.</w:t>
      </w:r>
      <w:r>
        <w:rPr>
          <w:rFonts w:eastAsia="Times New Roman" w:cs="Times New Roman" w:ascii="Times New Roman" w:hAnsi="Times New Roman"/>
          <w:sz w:val="22"/>
          <w:szCs w:val="22"/>
        </w:rPr>
        <w:t xml:space="preserve">  In an order issued January 28, FERC accepted the application for Blandin Paper to sell cogeneration and hydroelectric facilities and equipment located at the Grand Rapids mill to Minnesota Power.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Duke Energy Moss Landing, ER98-2668.  </w:t>
      </w:r>
      <w:r>
        <w:rPr>
          <w:rFonts w:eastAsia="Times New Roman" w:cs="Times New Roman" w:ascii="Times New Roman" w:hAnsi="Times New Roman"/>
          <w:i/>
          <w:iCs/>
          <w:sz w:val="22"/>
          <w:szCs w:val="22"/>
        </w:rPr>
        <w:t xml:space="preserve">Final Offer of Settlement.  </w:t>
      </w:r>
      <w:r>
        <w:rPr>
          <w:rFonts w:eastAsia="Times New Roman" w:cs="Times New Roman" w:ascii="Times New Roman" w:hAnsi="Times New Roman"/>
          <w:sz w:val="22"/>
          <w:szCs w:val="22"/>
        </w:rPr>
        <w:t>In a letter order issued January 28, FERC accepted Duke Energy's final offer of settlement resolving the issues pertaining to the affected Duke Energy units at Moss Landing and Oakland.  Issues resolved in this settlement are: established rules for capital item surcharges and repairs to Reliability Must Run units; established fixed option payment factors; revisions to the fuel cost mechanism; and revisions to Schedule J.</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AmerGen Energy, ER00-746.  </w:t>
      </w:r>
      <w:r>
        <w:rPr>
          <w:rFonts w:eastAsia="Times New Roman" w:cs="Times New Roman" w:ascii="Times New Roman" w:hAnsi="Times New Roman"/>
          <w:i/>
          <w:iCs/>
          <w:sz w:val="22"/>
          <w:szCs w:val="22"/>
        </w:rPr>
        <w:t xml:space="preserve">Order Accepts Rate Schedule.  </w:t>
      </w:r>
      <w:r>
        <w:rPr>
          <w:rFonts w:eastAsia="Times New Roman" w:cs="Times New Roman" w:ascii="Times New Roman" w:hAnsi="Times New Roman"/>
          <w:sz w:val="22"/>
          <w:szCs w:val="22"/>
        </w:rPr>
        <w:t>In an order issued January 28, FERC accepts a rate schedule filing by AmerGen Energy to make sales of capacity and energy at negotiated rates to its affiliate, PECO Energy.  FERC agreed with AmerGen that there is no possibility of affiliate abuse: PECO will operate as "provider of last resort" with no ratepayers.  Since the arms length transaction does not apply here, the agreement is accepted as a stand alone rate schedule.</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TransAlta Energy, EC00-42.  </w:t>
      </w:r>
      <w:r>
        <w:rPr>
          <w:rFonts w:eastAsia="Times New Roman" w:cs="Times New Roman" w:ascii="Times New Roman" w:hAnsi="Times New Roman"/>
          <w:i/>
          <w:iCs/>
          <w:sz w:val="22"/>
          <w:szCs w:val="22"/>
        </w:rPr>
        <w:t>Order Disposing of Facilities.</w:t>
      </w:r>
      <w:r>
        <w:rPr>
          <w:rFonts w:eastAsia="Times New Roman" w:cs="Times New Roman" w:ascii="Times New Roman" w:hAnsi="Times New Roman"/>
          <w:sz w:val="22"/>
          <w:szCs w:val="22"/>
        </w:rPr>
        <w:t xml:space="preserve">  In an order issued January 28, FERC accepted TransAlta's filing to implement a corporate reorganization to facilitate the financing of a divestiture transaction involving Centralia Steam Electric Generating Plant.  The resulting organization will be named TransAlta USA and direct parent of TransAlta Energy -US and TransAlta Energy-California and indirect parent of TransAlta Centralia.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PacifiCorp, EC00-24.  </w:t>
      </w:r>
      <w:r>
        <w:rPr>
          <w:rFonts w:eastAsia="Times New Roman" w:cs="Times New Roman" w:ascii="Times New Roman" w:hAnsi="Times New Roman"/>
          <w:i/>
          <w:iCs/>
          <w:sz w:val="22"/>
          <w:szCs w:val="22"/>
        </w:rPr>
        <w:t xml:space="preserve">Order Authorizing Disposing of Facilities.  </w:t>
      </w:r>
      <w:r>
        <w:rPr>
          <w:rFonts w:eastAsia="Times New Roman" w:cs="Times New Roman" w:ascii="Times New Roman" w:hAnsi="Times New Roman"/>
          <w:sz w:val="22"/>
          <w:szCs w:val="22"/>
        </w:rPr>
        <w:t>On November 15, 1999, PacifiCorp filed an application for authorization to sell certain facilities located in Del Norte, Siskiyou, Modoc and Shasta Counties, California to Nor-Cal Electric Authority.  The sale of the transmission facilities is part of PacifiCorp's overall sale of all of its retail service in northern California to Nor-Cal.  In this order issued January 28, FERC grants authorization.</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Niagara Mohawk Power and PSEG Power New York, EC00-30.  </w:t>
      </w:r>
      <w:r>
        <w:rPr>
          <w:rFonts w:eastAsia="Times New Roman" w:cs="Times New Roman" w:ascii="Times New Roman" w:hAnsi="Times New Roman"/>
          <w:i/>
          <w:iCs/>
          <w:sz w:val="22"/>
          <w:szCs w:val="22"/>
        </w:rPr>
        <w:t xml:space="preserve">Order Authorizing Disposing of Facilities.  </w:t>
      </w:r>
      <w:r>
        <w:rPr>
          <w:rFonts w:eastAsia="Times New Roman" w:cs="Times New Roman" w:ascii="Times New Roman" w:hAnsi="Times New Roman"/>
          <w:sz w:val="22"/>
          <w:szCs w:val="22"/>
        </w:rPr>
        <w:t xml:space="preserve">On December 6, 1999, Niagara Mohawk and PSEG Power filed a joint application requesting authorization to sell generator step-up transformers, generator leads and other related equipment located at the Albany Steam Station to PSEG Power as part of Niagara Mohawk's divestiture of its electric generating assets.  In an order issued January 28, FERC granted this authorization.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Boston Edison, ER99-978.  </w:t>
      </w:r>
      <w:r>
        <w:rPr>
          <w:rFonts w:eastAsia="Times New Roman" w:cs="Times New Roman" w:ascii="Times New Roman" w:hAnsi="Times New Roman"/>
          <w:i/>
          <w:iCs/>
          <w:sz w:val="22"/>
          <w:szCs w:val="22"/>
        </w:rPr>
        <w:t xml:space="preserve">Offer of Settlement.  </w:t>
      </w:r>
      <w:r>
        <w:rPr>
          <w:rFonts w:eastAsia="Times New Roman" w:cs="Times New Roman" w:ascii="Times New Roman" w:hAnsi="Times New Roman"/>
          <w:sz w:val="22"/>
          <w:szCs w:val="22"/>
        </w:rPr>
        <w:t>In an order issued January 28, FERC approved Boston Edison's settlement.  Based on staff's analysis, the settlement rates would not permit the rate of return to exceed 9.14% that includes a 10.50% return on common equity with an equity ratio of 43.56%.</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Cinergy Services, ER00-1207.  </w:t>
      </w:r>
      <w:r>
        <w:rPr>
          <w:rFonts w:eastAsia="Times New Roman" w:cs="Times New Roman" w:ascii="Times New Roman" w:hAnsi="Times New Roman"/>
          <w:i/>
          <w:iCs/>
          <w:sz w:val="22"/>
          <w:szCs w:val="22"/>
        </w:rPr>
        <w:t xml:space="preserve">Service Agreement.  </w:t>
      </w:r>
      <w:r>
        <w:rPr>
          <w:rFonts w:eastAsia="Times New Roman" w:cs="Times New Roman" w:ascii="Times New Roman" w:hAnsi="Times New Roman"/>
          <w:sz w:val="22"/>
          <w:szCs w:val="22"/>
        </w:rPr>
        <w:t xml:space="preserve">On January 24, Cinergy filed a service agreement with Allegheny Energy Supply Company for power based sales.  Protests were due on February 11.  The filing was noticed on January 28.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Potomac Electric Power, ER00-1188.  </w:t>
      </w:r>
      <w:r>
        <w:rPr>
          <w:rFonts w:eastAsia="Times New Roman" w:cs="Times New Roman" w:ascii="Times New Roman" w:hAnsi="Times New Roman"/>
          <w:i/>
          <w:iCs/>
          <w:sz w:val="22"/>
          <w:szCs w:val="22"/>
        </w:rPr>
        <w:t xml:space="preserve">Service Agreement.  </w:t>
      </w:r>
      <w:r>
        <w:rPr>
          <w:rFonts w:eastAsia="Times New Roman" w:cs="Times New Roman" w:ascii="Times New Roman" w:hAnsi="Times New Roman"/>
          <w:sz w:val="22"/>
          <w:szCs w:val="22"/>
        </w:rPr>
        <w:t xml:space="preserve">On January 31, Potomac Electric Power filed a service agreement with Reliant Energy Services.  Protests were due on February 9.  The filing was noticed on January 28.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Cinergy Services, ER00-1207.  </w:t>
      </w:r>
      <w:r>
        <w:rPr>
          <w:rFonts w:eastAsia="Times New Roman" w:cs="Times New Roman" w:ascii="Times New Roman" w:hAnsi="Times New Roman"/>
          <w:i/>
          <w:iCs/>
          <w:sz w:val="22"/>
          <w:szCs w:val="22"/>
        </w:rPr>
        <w:t xml:space="preserve">Service Agreement.  </w:t>
      </w:r>
      <w:r>
        <w:rPr>
          <w:rFonts w:eastAsia="Times New Roman" w:cs="Times New Roman" w:ascii="Times New Roman" w:hAnsi="Times New Roman"/>
          <w:sz w:val="22"/>
          <w:szCs w:val="22"/>
        </w:rPr>
        <w:t xml:space="preserve">On January 24, Cinergy Services filed a service agreement with Allegheny Energy Supply Company.  Protests were due on February 11.  The filing was noticed on January 28.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Soyland Power Cooperative, ER00-1204/1205.  </w:t>
      </w:r>
      <w:r>
        <w:rPr>
          <w:rFonts w:eastAsia="Times New Roman" w:cs="Times New Roman" w:ascii="Times New Roman" w:hAnsi="Times New Roman"/>
          <w:i/>
          <w:iCs/>
          <w:sz w:val="22"/>
          <w:szCs w:val="22"/>
        </w:rPr>
        <w:t xml:space="preserve">Service Agreements.  </w:t>
      </w:r>
      <w:r>
        <w:rPr>
          <w:rFonts w:eastAsia="Times New Roman" w:cs="Times New Roman" w:ascii="Times New Roman" w:hAnsi="Times New Roman"/>
          <w:sz w:val="22"/>
          <w:szCs w:val="22"/>
        </w:rPr>
        <w:t xml:space="preserve">On January 24, Soyland Power filed service agreements with Tri-County Electric Cooperative and Clinton Electric Cooperative, to provide firm short-term power.  Protests were due on February 11.  The filings were noticed on January 28.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Central Power and Light, ER00-1203.  </w:t>
      </w:r>
      <w:r>
        <w:rPr>
          <w:rFonts w:eastAsia="Times New Roman" w:cs="Times New Roman" w:ascii="Times New Roman" w:hAnsi="Times New Roman"/>
          <w:i/>
          <w:iCs/>
          <w:sz w:val="22"/>
          <w:szCs w:val="22"/>
        </w:rPr>
        <w:t xml:space="preserve">Interconnection Agreement.  </w:t>
      </w:r>
      <w:r>
        <w:rPr>
          <w:rFonts w:eastAsia="Times New Roman" w:cs="Times New Roman" w:ascii="Times New Roman" w:hAnsi="Times New Roman"/>
          <w:sz w:val="22"/>
          <w:szCs w:val="22"/>
        </w:rPr>
        <w:t xml:space="preserve">On January 24, Central Power filed an interconnection agreement with Duke Energy Hidalgo.  Protests were due on February 11.  The filing was noticed on January 28.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FirstEnergy System, ER00-1201.  </w:t>
      </w:r>
      <w:r>
        <w:rPr>
          <w:rFonts w:eastAsia="Times New Roman" w:cs="Times New Roman" w:ascii="Times New Roman" w:hAnsi="Times New Roman"/>
          <w:i/>
          <w:iCs/>
          <w:sz w:val="22"/>
          <w:szCs w:val="22"/>
        </w:rPr>
        <w:t xml:space="preserve">Firm Point-to-Point Service Agreement.  </w:t>
      </w:r>
      <w:r>
        <w:rPr>
          <w:rFonts w:eastAsia="Times New Roman" w:cs="Times New Roman" w:ascii="Times New Roman" w:hAnsi="Times New Roman"/>
          <w:sz w:val="22"/>
          <w:szCs w:val="22"/>
        </w:rPr>
        <w:t xml:space="preserve">On January 24, FirstEnergy System filed a service agreement to provide firm point-to-point service for ACN Power.  Protests were due on February 11.  The filing was noticed on January 28.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Indeck Pepperell Power Associates, ER00-1202.  </w:t>
      </w:r>
      <w:r>
        <w:rPr>
          <w:rFonts w:eastAsia="Times New Roman" w:cs="Times New Roman" w:ascii="Times New Roman" w:hAnsi="Times New Roman"/>
          <w:i/>
          <w:iCs/>
          <w:sz w:val="22"/>
          <w:szCs w:val="22"/>
        </w:rPr>
        <w:t xml:space="preserve">Power Purchase and Sale Agreement.  </w:t>
      </w:r>
      <w:r>
        <w:rPr>
          <w:rFonts w:eastAsia="Times New Roman" w:cs="Times New Roman" w:ascii="Times New Roman" w:hAnsi="Times New Roman"/>
          <w:sz w:val="22"/>
          <w:szCs w:val="22"/>
        </w:rPr>
        <w:t xml:space="preserve">On January 24, Indeck Pepperell Power filed a power purchase and sale agreement with Niagara Mohawk Energy Marketing.  Protests were due on February 11.  The filing was noticed on January 28.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FirstEnergy System, ER00-1200.  </w:t>
      </w:r>
      <w:r>
        <w:rPr>
          <w:rFonts w:eastAsia="Times New Roman" w:cs="Times New Roman" w:ascii="Times New Roman" w:hAnsi="Times New Roman"/>
          <w:i/>
          <w:iCs/>
          <w:sz w:val="22"/>
          <w:szCs w:val="22"/>
        </w:rPr>
        <w:t xml:space="preserve">Non-Firm Point-to-Point Service Agreement.  </w:t>
      </w:r>
      <w:r>
        <w:rPr>
          <w:rFonts w:eastAsia="Times New Roman" w:cs="Times New Roman" w:ascii="Times New Roman" w:hAnsi="Times New Roman"/>
          <w:sz w:val="22"/>
          <w:szCs w:val="22"/>
        </w:rPr>
        <w:t xml:space="preserve"> On January 24, FirstEnergy filed a service agreement to provide non-firm point-to-point service for ACN Power.  Protests were due on February 11.  The filing was noticed on January 28.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Cinergy Services, ER00-1220/1221.  </w:t>
      </w:r>
      <w:r>
        <w:rPr>
          <w:rFonts w:eastAsia="Times New Roman" w:cs="Times New Roman" w:ascii="Times New Roman" w:hAnsi="Times New Roman"/>
          <w:i/>
          <w:iCs/>
          <w:sz w:val="22"/>
          <w:szCs w:val="22"/>
        </w:rPr>
        <w:t xml:space="preserve">Firm Point-to-Point Service Agreements.  </w:t>
      </w:r>
      <w:r>
        <w:rPr>
          <w:rFonts w:eastAsia="Times New Roman" w:cs="Times New Roman" w:ascii="Times New Roman" w:hAnsi="Times New Roman"/>
          <w:sz w:val="22"/>
          <w:szCs w:val="22"/>
        </w:rPr>
        <w:t xml:space="preserve">On January 24, Cinergy Services filed a firm point-to-point service agreement with British Columbia Power Exchange and Cinergy Services (as a customer).  Protests were due on February 11.  The filings were noticed on January 28.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Niagara Mohawk Power, ER00-1191.  </w:t>
      </w:r>
      <w:r>
        <w:rPr>
          <w:rFonts w:eastAsia="Times New Roman" w:cs="Times New Roman" w:ascii="Times New Roman" w:hAnsi="Times New Roman"/>
          <w:i/>
          <w:iCs/>
          <w:sz w:val="22"/>
          <w:szCs w:val="22"/>
        </w:rPr>
        <w:t xml:space="preserve">Interconnection Agreement.  </w:t>
      </w:r>
      <w:r>
        <w:rPr>
          <w:rFonts w:eastAsia="Times New Roman" w:cs="Times New Roman" w:ascii="Times New Roman" w:hAnsi="Times New Roman"/>
          <w:sz w:val="22"/>
          <w:szCs w:val="22"/>
        </w:rPr>
        <w:t xml:space="preserve">On January 21, Niagara Mohawk filed an interconnection agreement with PSEG Power New York. Protests were due on February 10.  The filing was noticed on January 28.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EnerZ Corporation, ER00-1193. </w:t>
      </w:r>
      <w:r>
        <w:rPr>
          <w:rFonts w:eastAsia="Times New Roman" w:cs="Times New Roman" w:ascii="Times New Roman" w:hAnsi="Times New Roman"/>
          <w:i/>
          <w:iCs/>
          <w:sz w:val="22"/>
          <w:szCs w:val="22"/>
        </w:rPr>
        <w:t xml:space="preserve"> Notice of Cancellation.  </w:t>
      </w:r>
      <w:r>
        <w:rPr>
          <w:rFonts w:eastAsia="Times New Roman" w:cs="Times New Roman" w:ascii="Times New Roman" w:hAnsi="Times New Roman"/>
          <w:sz w:val="22"/>
          <w:szCs w:val="22"/>
        </w:rPr>
        <w:t xml:space="preserve">On January 21, EnerZ filed a notice of cancellation.  EnerZ is no longer engaged in power marketing.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Pennsylvania Electric, ER00-1194.  </w:t>
      </w:r>
      <w:r>
        <w:rPr>
          <w:rFonts w:eastAsia="Times New Roman" w:cs="Times New Roman" w:ascii="Times New Roman" w:hAnsi="Times New Roman"/>
          <w:i/>
          <w:iCs/>
          <w:sz w:val="22"/>
          <w:szCs w:val="22"/>
        </w:rPr>
        <w:t xml:space="preserve">Amendments.  </w:t>
      </w:r>
      <w:r>
        <w:rPr>
          <w:rFonts w:eastAsia="Times New Roman" w:cs="Times New Roman" w:ascii="Times New Roman" w:hAnsi="Times New Roman"/>
          <w:sz w:val="22"/>
          <w:szCs w:val="22"/>
        </w:rPr>
        <w:t xml:space="preserve">On January 21, Pennsylvania Electric filed amendments to its interconnection agreement with Seward-Conemaugh between PGU Energy and Atlantic City Electric Company, Baltimore Gas and Electric, Delmarva Power &amp; Light, Metropolitan Edison, Pennsylvania Power and Light, Philadelphia Electric, Potomac Electric Power, Public Service Electric and Gas and the United Gas Improvement Company.  The amendments modify Schedule 1 and 2 of the agreement.  Protests were due on February 10.  The filing was noticed on January 28.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Southern Operating Companies, ER00-935. </w:t>
      </w:r>
      <w:r>
        <w:rPr>
          <w:rFonts w:eastAsia="Times New Roman" w:cs="Times New Roman" w:ascii="Times New Roman" w:hAnsi="Times New Roman"/>
          <w:i/>
          <w:iCs/>
          <w:sz w:val="22"/>
          <w:szCs w:val="22"/>
        </w:rPr>
        <w:t>Rate Schedule Designation.</w:t>
      </w:r>
      <w:r>
        <w:rPr>
          <w:rFonts w:eastAsia="Times New Roman" w:cs="Times New Roman" w:ascii="Times New Roman" w:hAnsi="Times New Roman"/>
          <w:sz w:val="22"/>
          <w:szCs w:val="22"/>
        </w:rPr>
        <w:t xml:space="preserve">  In a letter order issued January 28, FERC accepted the supplements to rate schedules for Entergy Mississippi, South Carolina Electric &amp; Gas, Tennessee Valley Authority, Florida Power &amp; Light Company, South Carolina Public Service Authority, Jacksonville Electric Authority, City of Tallahassee, Entergy Gulf States, the Intercompany Interchange Contract, Florida Power Corporation, Cajun Electric Power Cooperative, Duke Power Company, Southeastern Power Administration, Alabama Electric Cooperative, Bay Resource Management, Oglethorpe Power Corporation, Crisp County, Municipal Electric Authority of Georgia, City of Dalton, Georgia.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Public Service Company of Oklahoma, ER00-944.  </w:t>
      </w:r>
      <w:r>
        <w:rPr>
          <w:rFonts w:eastAsia="Times New Roman" w:cs="Times New Roman" w:ascii="Times New Roman" w:hAnsi="Times New Roman"/>
          <w:i/>
          <w:iCs/>
          <w:sz w:val="22"/>
          <w:szCs w:val="22"/>
        </w:rPr>
        <w:t xml:space="preserve">Rate Schedule Designation.  </w:t>
      </w:r>
      <w:r>
        <w:rPr>
          <w:rFonts w:eastAsia="Times New Roman" w:cs="Times New Roman" w:ascii="Times New Roman" w:hAnsi="Times New Roman"/>
          <w:sz w:val="22"/>
          <w:szCs w:val="22"/>
        </w:rPr>
        <w:t>In a letter order issued January 28, FERC accepted the rate schedule supplements adding an interconnection point to the schedule and revising pages to the load center delivery points schedule, metering points schedule and contractual points of interconnection schedule to FERC No. 231.</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Blackstone Valley Electric, ER00-943. </w:t>
      </w:r>
      <w:r>
        <w:rPr>
          <w:rFonts w:eastAsia="Times New Roman" w:cs="Times New Roman" w:ascii="Times New Roman" w:hAnsi="Times New Roman"/>
          <w:i/>
          <w:iCs/>
          <w:sz w:val="22"/>
          <w:szCs w:val="22"/>
        </w:rPr>
        <w:t>Rate Schedule Designation.</w:t>
      </w:r>
      <w:r>
        <w:rPr>
          <w:rFonts w:eastAsia="Times New Roman" w:cs="Times New Roman" w:ascii="Times New Roman" w:hAnsi="Times New Roman"/>
          <w:sz w:val="22"/>
          <w:szCs w:val="22"/>
        </w:rPr>
        <w:t xml:space="preserve">  In a letter order issued January 28, FERC accepted the notice of assignment to FERC No. 38.</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Commonwealth Edison, ER00-940. </w:t>
      </w:r>
      <w:r>
        <w:rPr>
          <w:rFonts w:eastAsia="Times New Roman" w:cs="Times New Roman" w:ascii="Times New Roman" w:hAnsi="Times New Roman"/>
          <w:i/>
          <w:iCs/>
          <w:sz w:val="22"/>
          <w:szCs w:val="22"/>
        </w:rPr>
        <w:t>Rate Schedule Designation.</w:t>
      </w:r>
      <w:r>
        <w:rPr>
          <w:rFonts w:eastAsia="Times New Roman" w:cs="Times New Roman" w:ascii="Times New Roman" w:hAnsi="Times New Roman"/>
          <w:sz w:val="22"/>
          <w:szCs w:val="22"/>
        </w:rPr>
        <w:t xml:space="preserve">  In a letter order issued January 28, FERC accepted the changes to Dynamic Scheduling Agreement with the Commonwealth Edison Wholesale Marketing Department.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Duke Energy South Bay, ER00-435.  </w:t>
      </w:r>
      <w:r>
        <w:rPr>
          <w:rFonts w:eastAsia="Times New Roman" w:cs="Times New Roman" w:ascii="Times New Roman" w:hAnsi="Times New Roman"/>
          <w:i/>
          <w:iCs/>
          <w:sz w:val="22"/>
          <w:szCs w:val="22"/>
        </w:rPr>
        <w:t>Must Run Rate Schedule.</w:t>
      </w:r>
      <w:r>
        <w:rPr>
          <w:rFonts w:eastAsia="Times New Roman" w:cs="Times New Roman" w:ascii="Times New Roman" w:hAnsi="Times New Roman"/>
          <w:sz w:val="22"/>
          <w:szCs w:val="22"/>
        </w:rPr>
        <w:t xml:space="preserve">  In a letter issued January 28, FERC accepted Duke Energy South Bay's changes to its Must Run Schedule revising contract year service limits, hours availability and penalty for contract years beginning January 1, 2000.</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Southern Operating Companies, ER00-396/397/398/399/401/402/403/404/405/407/409/412.</w:t>
      </w:r>
      <w:r>
        <w:rPr>
          <w:rFonts w:eastAsia="Times New Roman" w:cs="Times New Roman" w:ascii="Times New Roman" w:hAnsi="Times New Roman"/>
          <w:i/>
          <w:iCs/>
          <w:sz w:val="22"/>
          <w:szCs w:val="22"/>
        </w:rPr>
        <w:t xml:space="preserve"> Rate Schedule Designation and Informational Changes.  </w:t>
      </w:r>
      <w:r>
        <w:rPr>
          <w:rFonts w:eastAsia="Times New Roman" w:cs="Times New Roman" w:ascii="Times New Roman" w:hAnsi="Times New Roman"/>
          <w:sz w:val="22"/>
          <w:szCs w:val="22"/>
        </w:rPr>
        <w:t xml:space="preserve">In a letter order issued January 28, FERC accepted the changes to the Must Run Rate Schedule revising Schedule A Contract Service Limits for the contract year beginning January 1, 2000 and Schedule B, Hourly Availability Rates, Hourly Penalty Rates and Target Availability Hours for the contract year beginning January 1, 2000 (ER00-306) and informational schedules detailing changes derived under the formula rates for various services provided to various wholesale customers (for the remaining dockets).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Gulf Power, ER00-410.</w:t>
      </w:r>
      <w:r>
        <w:rPr>
          <w:rFonts w:eastAsia="Times New Roman" w:cs="Times New Roman" w:ascii="Times New Roman" w:hAnsi="Times New Roman"/>
          <w:i/>
          <w:iCs/>
          <w:sz w:val="22"/>
          <w:szCs w:val="22"/>
        </w:rPr>
        <w:t xml:space="preserve">  Informational Changes.  </w:t>
      </w:r>
      <w:r>
        <w:rPr>
          <w:rFonts w:eastAsia="Times New Roman" w:cs="Times New Roman" w:ascii="Times New Roman" w:hAnsi="Times New Roman"/>
          <w:sz w:val="22"/>
          <w:szCs w:val="22"/>
        </w:rPr>
        <w:t>In a letter order issued January 28, FERC accepted the informational filing with changes derived under formula rates for a transmission service agreement with Bay Resource Management and an interconnection agreement with Alabama Electric Cooperative.</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Georgia Power, ER00-400/408.  </w:t>
      </w:r>
      <w:r>
        <w:rPr>
          <w:rFonts w:eastAsia="Times New Roman" w:cs="Times New Roman" w:ascii="Times New Roman" w:hAnsi="Times New Roman"/>
          <w:i/>
          <w:iCs/>
          <w:sz w:val="22"/>
          <w:szCs w:val="22"/>
        </w:rPr>
        <w:t xml:space="preserve">Informational Changes.  </w:t>
      </w:r>
      <w:r>
        <w:rPr>
          <w:rFonts w:eastAsia="Times New Roman" w:cs="Times New Roman" w:ascii="Times New Roman" w:hAnsi="Times New Roman"/>
          <w:sz w:val="22"/>
          <w:szCs w:val="22"/>
        </w:rPr>
        <w:t>In a letter order issued January 28, FERC accepted an informational filing reflecting changes derived under formula rates for an interchange contract with Crisp County Power Commission and a transmission services agreement with Florida Power and Light and Jacksonville Electric Authority.</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Mississippi Power Company, ER00-292/293.  </w:t>
      </w:r>
      <w:r>
        <w:rPr>
          <w:rFonts w:eastAsia="Times New Roman" w:cs="Times New Roman" w:ascii="Times New Roman" w:hAnsi="Times New Roman"/>
          <w:i/>
          <w:iCs/>
          <w:sz w:val="22"/>
          <w:szCs w:val="22"/>
        </w:rPr>
        <w:t xml:space="preserve">Informational Changes.  </w:t>
      </w:r>
      <w:r>
        <w:rPr>
          <w:rFonts w:eastAsia="Times New Roman" w:cs="Times New Roman" w:ascii="Times New Roman" w:hAnsi="Times New Roman"/>
          <w:sz w:val="22"/>
          <w:szCs w:val="22"/>
        </w:rPr>
        <w:t>In a letter issued January 28, FERC accepted the informational filing reflecting changes derived under formula rates for a transmission facilities agreement with Gulf States Utilities and with Alabama Power Company.</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Pacific Gas and Electric, ER00-871. </w:t>
      </w:r>
      <w:r>
        <w:rPr>
          <w:rFonts w:eastAsia="Times New Roman" w:cs="Times New Roman" w:ascii="Times New Roman" w:hAnsi="Times New Roman"/>
          <w:i/>
          <w:iCs/>
          <w:sz w:val="22"/>
          <w:szCs w:val="22"/>
        </w:rPr>
        <w:t>Rate Schedule Designation.</w:t>
      </w:r>
      <w:r>
        <w:rPr>
          <w:rFonts w:eastAsia="Times New Roman" w:cs="Times New Roman" w:ascii="Times New Roman" w:hAnsi="Times New Roman"/>
          <w:sz w:val="22"/>
          <w:szCs w:val="22"/>
        </w:rPr>
        <w:t xml:space="preserve">  In a letter issued January 28, FERC accepted the rate schedule changes revising Schedule A, Must Run Rate Schedule with FERC No. 207, 210, and 211.</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rFonts w:ascii="Times New Roman" w:hAnsi="Times New Roman" w:eastAsia="Times New Roman" w:cs="Times New Roman"/>
          <w:sz w:val="22"/>
          <w:szCs w:val="22"/>
        </w:rPr>
      </w:pPr>
      <w:r>
        <w:rPr>
          <w:rFonts w:eastAsia="Times New Roman" w:cs="Times New Roman" w:ascii="Times New Roman" w:hAnsi="Times New Roman"/>
          <w:b/>
          <w:bCs/>
          <w:sz w:val="22"/>
          <w:szCs w:val="22"/>
        </w:rPr>
        <w:t>GPU Operating Companies, ER00-1002.</w:t>
      </w:r>
      <w:r>
        <w:rPr>
          <w:rFonts w:eastAsia="Times New Roman" w:cs="Times New Roman" w:ascii="Times New Roman" w:hAnsi="Times New Roman"/>
          <w:i/>
          <w:iCs/>
          <w:sz w:val="22"/>
          <w:szCs w:val="22"/>
        </w:rPr>
        <w:t xml:space="preserve"> Rate Schedule Designation.</w:t>
      </w:r>
      <w:r>
        <w:rPr>
          <w:rFonts w:eastAsia="Times New Roman" w:cs="Times New Roman" w:ascii="Times New Roman" w:hAnsi="Times New Roman"/>
          <w:sz w:val="22"/>
          <w:szCs w:val="22"/>
        </w:rPr>
        <w:t xml:space="preserve">  In a letter issued January 28, FERC accepted the amendments to the Conemaugh Operating Agreement and the Keystone Operating Agreement modifying the termination provisions</w:t>
      </w:r>
      <w:r>
        <w:rPr>
          <w:rFonts w:eastAsia="Times New Roman" w:cs="Times New Roman" w:ascii="Times New Roman" w:hAnsi="Times New Roman"/>
          <w:b/>
          <w:bCs/>
          <w:sz w:val="22"/>
          <w:szCs w:val="22"/>
        </w:rPr>
        <w:t xml:space="preserve">.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Cleco Utility Group, EC00-36. </w:t>
      </w:r>
      <w:r>
        <w:rPr>
          <w:rFonts w:eastAsia="Times New Roman" w:cs="Times New Roman" w:ascii="Times New Roman" w:hAnsi="Times New Roman"/>
          <w:i/>
          <w:iCs/>
          <w:sz w:val="22"/>
          <w:szCs w:val="22"/>
        </w:rPr>
        <w:t xml:space="preserve">Order Authorizing Disposition of Facilities.  </w:t>
      </w:r>
      <w:r>
        <w:rPr>
          <w:rFonts w:eastAsia="Times New Roman" w:cs="Times New Roman" w:ascii="Times New Roman" w:hAnsi="Times New Roman"/>
          <w:sz w:val="22"/>
          <w:szCs w:val="22"/>
        </w:rPr>
        <w:t xml:space="preserve">In a letter issued January 28, FERC authorized the Cleco Utility Group to sell the Coughlin Steam Generator Units 6 and 7 to Cleco Evangeline.  The facilities include generation step-up transformers and generator leads associated with the Units.  Cleco Corporation will continue to have ultimate control of the jurisdictional facilities.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Interstate Power Company, EC00-39.  </w:t>
      </w:r>
      <w:r>
        <w:rPr>
          <w:rFonts w:eastAsia="Times New Roman" w:cs="Times New Roman" w:ascii="Times New Roman" w:hAnsi="Times New Roman"/>
          <w:i/>
          <w:iCs/>
          <w:sz w:val="22"/>
          <w:szCs w:val="22"/>
        </w:rPr>
        <w:t xml:space="preserve">Order Authorizing Disposition of Facilities.  </w:t>
      </w:r>
      <w:r>
        <w:rPr>
          <w:rFonts w:eastAsia="Times New Roman" w:cs="Times New Roman" w:ascii="Times New Roman" w:hAnsi="Times New Roman"/>
          <w:sz w:val="22"/>
          <w:szCs w:val="22"/>
        </w:rPr>
        <w:t xml:space="preserve">In an order issued January 28, FERC authorized the sale of Medford Junction step-down distribution substation and equipment in Minnesota to Northern States Power Company.  After the sale, Northern States will not serve any wholesale customers through the Medford substation.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CSW Operating Companies, ER00-569.  </w:t>
      </w:r>
      <w:r>
        <w:rPr>
          <w:rFonts w:eastAsia="Times New Roman" w:cs="Times New Roman" w:ascii="Times New Roman" w:hAnsi="Times New Roman"/>
          <w:i/>
          <w:iCs/>
          <w:sz w:val="22"/>
          <w:szCs w:val="22"/>
        </w:rPr>
        <w:t xml:space="preserve">Rate Schedule Designation.  </w:t>
      </w:r>
      <w:r>
        <w:rPr>
          <w:rFonts w:eastAsia="Times New Roman" w:cs="Times New Roman" w:ascii="Times New Roman" w:hAnsi="Times New Roman"/>
          <w:sz w:val="22"/>
          <w:szCs w:val="22"/>
        </w:rPr>
        <w:t>In a letter order issued January 28, FERC accepted the filing revising rates under CSW's tariff to track changes ordered by the Public Utilities of Texas.  Rates are changing two-part rate to single postage stamp rate.</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American Electric Power Service, ER94-540.  </w:t>
      </w:r>
      <w:r>
        <w:rPr>
          <w:rFonts w:eastAsia="Times New Roman" w:cs="Times New Roman" w:ascii="Times New Roman" w:hAnsi="Times New Roman"/>
          <w:i/>
          <w:iCs/>
          <w:sz w:val="22"/>
          <w:szCs w:val="22"/>
        </w:rPr>
        <w:t xml:space="preserve">Interim Refunds.  </w:t>
      </w:r>
      <w:r>
        <w:rPr>
          <w:rFonts w:eastAsia="Times New Roman" w:cs="Times New Roman" w:ascii="Times New Roman" w:hAnsi="Times New Roman"/>
          <w:sz w:val="22"/>
          <w:szCs w:val="22"/>
        </w:rPr>
        <w:t xml:space="preserve">By letter order issued January 28, AEP is authorized to make interim refunds that reflect a portion of the total refunds that AEP will make after FERC accepts AEP's compliance filing in conformance to Opinion No. 440.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Duke Power, ER00-1184/1185.  </w:t>
      </w:r>
      <w:r>
        <w:rPr>
          <w:rFonts w:eastAsia="Times New Roman" w:cs="Times New Roman" w:ascii="Times New Roman" w:hAnsi="Times New Roman"/>
          <w:i/>
          <w:iCs/>
          <w:sz w:val="22"/>
          <w:szCs w:val="22"/>
        </w:rPr>
        <w:t xml:space="preserve">Service Agreement.  </w:t>
      </w:r>
      <w:r>
        <w:rPr>
          <w:rFonts w:eastAsia="Times New Roman" w:cs="Times New Roman" w:ascii="Times New Roman" w:hAnsi="Times New Roman"/>
          <w:sz w:val="22"/>
          <w:szCs w:val="22"/>
        </w:rPr>
        <w:t xml:space="preserve">On January 20, Duke Power filed a service agreement with TXU Energy Trading Company and Statoil Energy Services for power sales at market based rates.  Protests were due on February 9.  The filings were noticed on January 28.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Carolina Power and Light, ER00-1186.  </w:t>
      </w:r>
      <w:r>
        <w:rPr>
          <w:rFonts w:eastAsia="Times New Roman" w:cs="Times New Roman" w:ascii="Times New Roman" w:hAnsi="Times New Roman"/>
          <w:i/>
          <w:iCs/>
          <w:sz w:val="22"/>
          <w:szCs w:val="22"/>
        </w:rPr>
        <w:t xml:space="preserve">Executed Service Agreement. </w:t>
      </w:r>
      <w:r>
        <w:rPr>
          <w:rFonts w:eastAsia="Times New Roman" w:cs="Times New Roman" w:ascii="Times New Roman" w:hAnsi="Times New Roman"/>
          <w:sz w:val="22"/>
          <w:szCs w:val="22"/>
        </w:rPr>
        <w:t xml:space="preserve">On January 20, Carolina Power filed an executed service agreement with Coral Power superseding the unexecuted agreement filed May 18, 1998.  Protests were due on February 9.  The filing was noticed on January 28.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Southwest Power Pool, ER00-1187.  </w:t>
      </w:r>
      <w:r>
        <w:rPr>
          <w:rFonts w:eastAsia="Times New Roman" w:cs="Times New Roman" w:ascii="Times New Roman" w:hAnsi="Times New Roman"/>
          <w:i/>
          <w:iCs/>
          <w:sz w:val="22"/>
          <w:szCs w:val="22"/>
        </w:rPr>
        <w:t xml:space="preserve">Firm Point-to-Point and Loss Compensation Service Agreements.  </w:t>
      </w:r>
      <w:r>
        <w:rPr>
          <w:rFonts w:eastAsia="Times New Roman" w:cs="Times New Roman" w:ascii="Times New Roman" w:hAnsi="Times New Roman"/>
          <w:sz w:val="22"/>
          <w:szCs w:val="22"/>
        </w:rPr>
        <w:t xml:space="preserve">On January 20, Southwest Power Pool filed executed service agreements for firm point-to-point transmission service and loss compensation service with Southwestern Electric Power Company as designated agent for Tex-La Electric Cooperative.  Protests were due on February 9.  The filing was noticed on January 28.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Cleco Utility Group, ER00-1153.  </w:t>
      </w:r>
      <w:r>
        <w:rPr>
          <w:rFonts w:eastAsia="Times New Roman" w:cs="Times New Roman" w:ascii="Times New Roman" w:hAnsi="Times New Roman"/>
          <w:i/>
          <w:iCs/>
          <w:sz w:val="22"/>
          <w:szCs w:val="22"/>
        </w:rPr>
        <w:t xml:space="preserve">Non-Firm and Short Term Firm Point-to-Point Service Agreements.  </w:t>
      </w:r>
      <w:r>
        <w:rPr>
          <w:rFonts w:eastAsia="Times New Roman" w:cs="Times New Roman" w:ascii="Times New Roman" w:hAnsi="Times New Roman"/>
          <w:sz w:val="22"/>
          <w:szCs w:val="22"/>
        </w:rPr>
        <w:t xml:space="preserve">On January 19, Cleco Utility Group filed service agreements for non-firm and short term firm point-to-point transmission services with Williams Energy Marketing &amp; Trading Company.  Protests were due on February 8.  The filing was noticed on January 28.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Cinergy Services, ER00-1209.  </w:t>
      </w:r>
      <w:r>
        <w:rPr>
          <w:rFonts w:eastAsia="Times New Roman" w:cs="Times New Roman" w:ascii="Times New Roman" w:hAnsi="Times New Roman"/>
          <w:i/>
          <w:iCs/>
          <w:sz w:val="22"/>
          <w:szCs w:val="22"/>
        </w:rPr>
        <w:t xml:space="preserve">Firm Point-to-Point Service Agreement.  </w:t>
      </w:r>
      <w:r>
        <w:rPr>
          <w:rFonts w:eastAsia="Times New Roman" w:cs="Times New Roman" w:ascii="Times New Roman" w:hAnsi="Times New Roman"/>
          <w:sz w:val="22"/>
          <w:szCs w:val="22"/>
        </w:rPr>
        <w:t xml:space="preserve">  On January 21, Cinergy Services filed a firm point-to-point service agreement with Consumers Energy Company.  Protests were due on February 10.  The filing was noticed on January 28.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Cinergy Services, ER00-1222.  </w:t>
      </w:r>
      <w:r>
        <w:rPr>
          <w:rFonts w:eastAsia="Times New Roman" w:cs="Times New Roman" w:ascii="Times New Roman" w:hAnsi="Times New Roman"/>
          <w:i/>
          <w:iCs/>
          <w:sz w:val="22"/>
          <w:szCs w:val="22"/>
        </w:rPr>
        <w:t xml:space="preserve">Non-Firm Point-to-Point Service Agreement.  </w:t>
      </w:r>
      <w:r>
        <w:rPr>
          <w:rFonts w:eastAsia="Times New Roman" w:cs="Times New Roman" w:ascii="Times New Roman" w:hAnsi="Times New Roman"/>
          <w:sz w:val="22"/>
          <w:szCs w:val="22"/>
        </w:rPr>
        <w:t xml:space="preserve">On January 24, Cinergy filed a non-firm point-to-point service agreement with British Columbia Power Exchange Corp.  Protests were due on February 11.  The filing was noticed on January 28.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WPS Energy Services, ER00-1169. </w:t>
      </w:r>
      <w:r>
        <w:rPr>
          <w:rFonts w:eastAsia="Times New Roman" w:cs="Times New Roman" w:ascii="Times New Roman" w:hAnsi="Times New Roman"/>
          <w:i/>
          <w:iCs/>
          <w:sz w:val="22"/>
          <w:szCs w:val="22"/>
        </w:rPr>
        <w:t xml:space="preserve">Brokering and dispatch Agreement.  </w:t>
      </w:r>
      <w:r>
        <w:rPr>
          <w:rFonts w:eastAsia="Times New Roman" w:cs="Times New Roman" w:ascii="Times New Roman" w:hAnsi="Times New Roman"/>
          <w:sz w:val="22"/>
          <w:szCs w:val="22"/>
        </w:rPr>
        <w:t xml:space="preserve">On January 19, WPS Energy filed a brokering and dispatch agreement with Sunbury Generation.  Protests were due on February 8.  The filing was noticed on January 28.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Sunbury Generation, ER00-1169.  </w:t>
      </w:r>
      <w:r>
        <w:rPr>
          <w:rFonts w:eastAsia="Times New Roman" w:cs="Times New Roman" w:ascii="Times New Roman" w:hAnsi="Times New Roman"/>
          <w:i/>
          <w:iCs/>
          <w:sz w:val="22"/>
          <w:szCs w:val="22"/>
        </w:rPr>
        <w:t xml:space="preserve">Power Purchase Agreement.  </w:t>
      </w:r>
      <w:r>
        <w:rPr>
          <w:rFonts w:eastAsia="Times New Roman" w:cs="Times New Roman" w:ascii="Times New Roman" w:hAnsi="Times New Roman"/>
          <w:sz w:val="22"/>
          <w:szCs w:val="22"/>
        </w:rPr>
        <w:t xml:space="preserve">On January 19, Sunbury Generation filed a power purchase agreement with WPS Energy Services.  Protests were due on February 8.  The filing was noticed on January 28.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Cinergy Services, ER00-1216.  </w:t>
      </w:r>
      <w:r>
        <w:rPr>
          <w:rFonts w:eastAsia="Times New Roman" w:cs="Times New Roman" w:ascii="Times New Roman" w:hAnsi="Times New Roman"/>
          <w:i/>
          <w:iCs/>
          <w:sz w:val="22"/>
          <w:szCs w:val="22"/>
        </w:rPr>
        <w:t xml:space="preserve">Executed Service Agreement.  </w:t>
      </w:r>
      <w:r>
        <w:rPr>
          <w:rFonts w:eastAsia="Times New Roman" w:cs="Times New Roman" w:ascii="Times New Roman" w:hAnsi="Times New Roman"/>
          <w:sz w:val="22"/>
          <w:szCs w:val="22"/>
        </w:rPr>
        <w:t xml:space="preserve">On January 24, Cinergy filed an executed service agreement on behalf of its operating company affiliates, Cincinnati Gas &amp; Electric and PSI Energy with Engage Energy replacing the unexecuted agreement filed in April, 1999.  Protests were due on February 11.  The filing was noticed on January 28.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Fitchburg Gas and Electric Light, ER00-1215.  </w:t>
      </w:r>
      <w:r>
        <w:rPr>
          <w:rFonts w:eastAsia="Times New Roman" w:cs="Times New Roman" w:ascii="Times New Roman" w:hAnsi="Times New Roman"/>
          <w:i/>
          <w:iCs/>
          <w:sz w:val="22"/>
          <w:szCs w:val="22"/>
        </w:rPr>
        <w:t xml:space="preserve">Changes to Rates.  </w:t>
      </w:r>
      <w:r>
        <w:rPr>
          <w:rFonts w:eastAsia="Times New Roman" w:cs="Times New Roman" w:ascii="Times New Roman" w:hAnsi="Times New Roman"/>
          <w:sz w:val="22"/>
          <w:szCs w:val="22"/>
        </w:rPr>
        <w:t xml:space="preserve">On January 24, Fitchburg Gas filed changes to the rate in its tariff reflecting a decrease in the transmission plant and a corresponding decrease In a letter issued January rate for transmission service.  Protests were due on February 11.  The filing was noticed on January 28.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Southwestern Public Service, ER00-1168.  </w:t>
      </w:r>
      <w:r>
        <w:rPr>
          <w:rFonts w:eastAsia="Times New Roman" w:cs="Times New Roman" w:ascii="Times New Roman" w:hAnsi="Times New Roman"/>
          <w:i/>
          <w:iCs/>
          <w:sz w:val="22"/>
          <w:szCs w:val="22"/>
        </w:rPr>
        <w:t xml:space="preserve">Amendment to Filing.  </w:t>
      </w:r>
      <w:r>
        <w:rPr>
          <w:rFonts w:eastAsia="Times New Roman" w:cs="Times New Roman" w:ascii="Times New Roman" w:hAnsi="Times New Roman"/>
          <w:sz w:val="22"/>
          <w:szCs w:val="22"/>
        </w:rPr>
        <w:t xml:space="preserve">On January 24, New Century filed an amendment to its January 29, 2000 filing of an agreed-upon rate reduction for full requirements service to Caprock Electric Cooperative, Central Valley Electric Cooperative, Farmers Electric Cooperative, Lea County Electric Cooperative, Lyntegar Electric Cooperative and Roosevelt Electric Cooperative and service agreement for network transmission service between the wholesale merchant function and transmission function.  The amendment corrects one page of each rate schedule.  The filing was noticed on January 28.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Puget Sound Energy, ER00-1210/1211/1212.  </w:t>
      </w:r>
      <w:r>
        <w:rPr>
          <w:rFonts w:eastAsia="Times New Roman" w:cs="Times New Roman" w:ascii="Times New Roman" w:hAnsi="Times New Roman"/>
          <w:i/>
          <w:iCs/>
          <w:sz w:val="22"/>
          <w:szCs w:val="22"/>
        </w:rPr>
        <w:t xml:space="preserve">Service Agreement.  </w:t>
      </w:r>
      <w:r>
        <w:rPr>
          <w:rFonts w:eastAsia="Times New Roman" w:cs="Times New Roman" w:ascii="Times New Roman" w:hAnsi="Times New Roman"/>
          <w:sz w:val="22"/>
          <w:szCs w:val="22"/>
        </w:rPr>
        <w:t>On January 24, Puget Sound filed service agreements with NP Energy, QST Energy Trading and PECO Energy.  Protests were due on February 11.  The filings were noticed on January 28.</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Cinergy Services, ER00-1208.  </w:t>
      </w:r>
      <w:r>
        <w:rPr>
          <w:rFonts w:eastAsia="Times New Roman" w:cs="Times New Roman" w:ascii="Times New Roman" w:hAnsi="Times New Roman"/>
          <w:i/>
          <w:iCs/>
          <w:sz w:val="22"/>
          <w:szCs w:val="22"/>
        </w:rPr>
        <w:t xml:space="preserve">Non-Firm Point-to-Point Service Agreements.  </w:t>
      </w:r>
      <w:r>
        <w:rPr>
          <w:rFonts w:eastAsia="Times New Roman" w:cs="Times New Roman" w:ascii="Times New Roman" w:hAnsi="Times New Roman"/>
          <w:sz w:val="22"/>
          <w:szCs w:val="22"/>
        </w:rPr>
        <w:t xml:space="preserve">On January 24, Cinergy filed a non-firm point-to-point transmission service agreement with Consumers Energy.  Protests were due on February 11.  The filing was noticed on January 28.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Puget Sound Energy, ER00-1182.  </w:t>
      </w:r>
      <w:r>
        <w:rPr>
          <w:rFonts w:eastAsia="Times New Roman" w:cs="Times New Roman" w:ascii="Times New Roman" w:hAnsi="Times New Roman"/>
          <w:i/>
          <w:iCs/>
          <w:sz w:val="22"/>
          <w:szCs w:val="22"/>
        </w:rPr>
        <w:t xml:space="preserve">Firm and Non-Firm Point-to-Point Service Agreement.  </w:t>
      </w:r>
      <w:r>
        <w:rPr>
          <w:rFonts w:eastAsia="Times New Roman" w:cs="Times New Roman" w:ascii="Times New Roman" w:hAnsi="Times New Roman"/>
          <w:sz w:val="22"/>
          <w:szCs w:val="22"/>
        </w:rPr>
        <w:t>On January 20, Puget Sound filed firm and non-firm point-to-point service agreements with PP&amp;L Montana.  Protests were due on February 9.  The filing was noticed on January 27.</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Central Vermont Public Service, ER00-1183.  </w:t>
      </w:r>
      <w:r>
        <w:rPr>
          <w:rFonts w:eastAsia="Times New Roman" w:cs="Times New Roman" w:ascii="Times New Roman" w:hAnsi="Times New Roman"/>
          <w:i/>
          <w:iCs/>
          <w:sz w:val="22"/>
          <w:szCs w:val="22"/>
        </w:rPr>
        <w:t xml:space="preserve">Service Agreement.  </w:t>
      </w:r>
      <w:r>
        <w:rPr>
          <w:rFonts w:eastAsia="Times New Roman" w:cs="Times New Roman" w:ascii="Times New Roman" w:hAnsi="Times New Roman"/>
          <w:sz w:val="22"/>
          <w:szCs w:val="22"/>
        </w:rPr>
        <w:t xml:space="preserve">On January 20, Central Vermont filed a service agreement with TransCanada Power Marketing.  Protests were due on February 9.  The filing was noticed on January 27.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Portland General Electric Company, ER98-1643.  </w:t>
      </w:r>
      <w:r>
        <w:rPr>
          <w:rFonts w:eastAsia="Times New Roman" w:cs="Times New Roman" w:ascii="Times New Roman" w:hAnsi="Times New Roman"/>
          <w:i/>
          <w:iCs/>
          <w:sz w:val="22"/>
          <w:szCs w:val="22"/>
        </w:rPr>
        <w:t xml:space="preserve">Changes in Tariff.  </w:t>
      </w:r>
      <w:r>
        <w:rPr>
          <w:rFonts w:eastAsia="Times New Roman" w:cs="Times New Roman" w:ascii="Times New Roman" w:hAnsi="Times New Roman"/>
          <w:sz w:val="22"/>
          <w:szCs w:val="22"/>
        </w:rPr>
        <w:t xml:space="preserve">On January 19, Portland General filed proposed changes in its tariff consisting of restrictions on the sale of power between PGE and Sierra Pacific Power Company.  Protests were due on February 9.  The filing was noticed on January 27.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Tampa Electric Company, ER00-1178</w:t>
      </w:r>
      <w:r>
        <w:rPr>
          <w:rFonts w:eastAsia="Times New Roman" w:cs="Times New Roman" w:ascii="Times New Roman" w:hAnsi="Times New Roman"/>
          <w:sz w:val="22"/>
          <w:szCs w:val="22"/>
        </w:rPr>
        <w:t xml:space="preserve">.  </w:t>
      </w:r>
      <w:r>
        <w:rPr>
          <w:rFonts w:eastAsia="Times New Roman" w:cs="Times New Roman" w:ascii="Times New Roman" w:hAnsi="Times New Roman"/>
          <w:i/>
          <w:iCs/>
          <w:sz w:val="22"/>
          <w:szCs w:val="22"/>
        </w:rPr>
        <w:t xml:space="preserve">Service Agreement.  </w:t>
      </w:r>
      <w:r>
        <w:rPr>
          <w:rFonts w:eastAsia="Times New Roman" w:cs="Times New Roman" w:ascii="Times New Roman" w:hAnsi="Times New Roman"/>
          <w:sz w:val="22"/>
          <w:szCs w:val="22"/>
        </w:rPr>
        <w:t xml:space="preserve">On January 20, Tampa Electric filed a service agreement with the City of Tallahassee under its market-based tariff.  Protests were due on February 9.  The filing was noticed on January 27.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Pacific Gas and Electric, ER99-4323.  </w:t>
      </w:r>
      <w:r>
        <w:rPr>
          <w:rFonts w:eastAsia="Times New Roman" w:cs="Times New Roman" w:ascii="Times New Roman" w:hAnsi="Times New Roman"/>
          <w:i/>
          <w:iCs/>
          <w:sz w:val="22"/>
          <w:szCs w:val="22"/>
        </w:rPr>
        <w:t xml:space="preserve">Protective Order. </w:t>
      </w:r>
      <w:r>
        <w:rPr>
          <w:rFonts w:eastAsia="Times New Roman" w:cs="Times New Roman" w:ascii="Times New Roman" w:hAnsi="Times New Roman"/>
          <w:sz w:val="22"/>
          <w:szCs w:val="22"/>
        </w:rPr>
        <w:t xml:space="preserve">  In an order issued January 27, the ALJ granted a protective order in these proceedings.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sz w:val="22"/>
          <w:szCs w:val="22"/>
        </w:rPr>
        <w:t xml:space="preserve">North American Reliability Council, ER99-2012.  </w:t>
      </w:r>
      <w:r>
        <w:rPr>
          <w:rFonts w:eastAsia="Times New Roman" w:cs="Times New Roman" w:ascii="Times New Roman" w:hAnsi="Times New Roman"/>
          <w:i/>
          <w:iCs/>
          <w:sz w:val="22"/>
          <w:szCs w:val="22"/>
        </w:rPr>
        <w:t xml:space="preserve">Order Accepting Market Redispatch Pilot Program Report.  </w:t>
      </w:r>
      <w:r>
        <w:rPr>
          <w:rFonts w:eastAsia="Times New Roman" w:cs="Times New Roman" w:ascii="Times New Roman" w:hAnsi="Times New Roman"/>
          <w:sz w:val="22"/>
          <w:szCs w:val="22"/>
        </w:rPr>
        <w:t xml:space="preserve">This order, issued January 27, accepts the report filed by NERC on its market redispatch pilot program and grants extension to April 1, 2000 for the program.  On May 12, 1999 FERC accepted NERC's proposed market redispatch pilot program for the Eastern Interconnection through September 30, 1999.  Subsequently, NERC filed requests for extension to consider whether to continue development of the market redispatch program. Generally the report describes the market redispatch pilot program, including the benefits and flaws in the process and lessons learned.  NERC also describes ways to improve market redispatch for Summer 2000 and the future.  Enron states that NERC is accurately describing the problems with the program and recognizes NERC's emphasis on analyzing potential solutions.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3"/>
        </w:numPr>
        <w:tabs>
          <w:tab w:val="clear" w:pos="540"/>
          <w:tab w:val="left" w:pos="0" w:leader="none"/>
        </w:tabs>
        <w:ind w:hanging="720" w:start="720" w:end="0"/>
        <w:rPr>
          <w:rFonts w:ascii="Times New Roman" w:hAnsi="Times New Roman" w:eastAsia="Times New Roman" w:cs="Times New Roman"/>
          <w:sz w:val="22"/>
          <w:szCs w:val="22"/>
        </w:rPr>
      </w:pPr>
      <w:r>
        <w:rPr>
          <w:rFonts w:eastAsia="Times New Roman" w:cs="Times New Roman" w:ascii="Times New Roman" w:hAnsi="Times New Roman"/>
          <w:b/>
          <w:bCs/>
          <w:sz w:val="22"/>
          <w:szCs w:val="22"/>
        </w:rPr>
        <w:t xml:space="preserve">Basket Order - </w:t>
      </w:r>
    </w:p>
    <w:p>
      <w:pPr>
        <w:pStyle w:val="Normal"/>
        <w:numPr>
          <w:ilvl w:val="0"/>
          <w:numId w:val="0"/>
        </w:numPr>
        <w:tabs>
          <w:tab w:val="clear" w:pos="540"/>
        </w:tabs>
        <w:ind w:hanging="0" w:start="360" w:end="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 xml:space="preserve">Ameren Operating Companies, ER00-780. </w:t>
      </w:r>
      <w:r>
        <w:rPr>
          <w:rFonts w:eastAsia="Times New Roman" w:cs="Times New Roman" w:ascii="Times New Roman" w:hAnsi="Times New Roman"/>
          <w:i/>
          <w:iCs/>
          <w:sz w:val="22"/>
          <w:szCs w:val="22"/>
        </w:rPr>
        <w:t>Rate Schedule Designation.</w:t>
      </w:r>
      <w:r>
        <w:rPr>
          <w:rFonts w:eastAsia="Times New Roman" w:cs="Times New Roman" w:ascii="Times New Roman" w:hAnsi="Times New Roman"/>
          <w:sz w:val="22"/>
          <w:szCs w:val="22"/>
        </w:rPr>
        <w:t xml:space="preserve">  In a letter issued January 27, FERC accepted the schedule changes in a basket of tariff service agreement filings submitted recently, rather than issuing separate acceptance letters in each docket.  Below represents the filing utility, docket number and the other party:</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tbl>
      <w:tblPr>
        <w:tblW w:w="8010" w:type="dxa"/>
        <w:jc w:val="start"/>
        <w:tblInd w:w="648" w:type="dxa"/>
        <w:tblLayout w:type="fixed"/>
        <w:tblCellMar>
          <w:top w:w="0" w:type="dxa"/>
          <w:start w:w="108" w:type="dxa"/>
          <w:bottom w:w="0" w:type="dxa"/>
          <w:end w:w="108" w:type="dxa"/>
        </w:tblCellMar>
      </w:tblPr>
      <w:tblGrid>
        <w:gridCol w:w="3420"/>
        <w:gridCol w:w="1440"/>
        <w:gridCol w:w="3150"/>
      </w:tblGrid>
      <w:tr>
        <w:trPr/>
        <w:tc>
          <w:tcPr>
            <w:tcW w:w="3420" w:type="dxa"/>
            <w:tcBorders>
              <w:top w:val="single" w:sz="6" w:space="0" w:color="000000"/>
              <w:start w:val="single" w:sz="6" w:space="0" w:color="000000"/>
              <w:bottom w:val="single" w:sz="6" w:space="0" w:color="000000"/>
              <w:end w:val="single" w:sz="6" w:space="0" w:color="000000"/>
            </w:tcBorders>
          </w:tcPr>
          <w:p>
            <w:pPr>
              <w:pStyle w:val="Normal"/>
              <w:tabs>
                <w:tab w:val="clear" w:pos="540"/>
              </w:tabs>
              <w:jc w:val="center"/>
              <w:rPr>
                <w:rFonts w:ascii="Times New Roman" w:hAnsi="Times New Roman" w:eastAsia="Times New Roman" w:cs="Times New Roman"/>
                <w:b/>
                <w:bCs/>
                <w:i/>
                <w:i/>
                <w:iCs/>
                <w:sz w:val="22"/>
                <w:szCs w:val="22"/>
              </w:rPr>
            </w:pPr>
            <w:r>
              <w:rPr>
                <w:rFonts w:eastAsia="Times New Roman" w:cs="Times New Roman" w:ascii="Times New Roman" w:hAnsi="Times New Roman"/>
                <w:b/>
                <w:bCs/>
                <w:i/>
                <w:iCs/>
                <w:sz w:val="22"/>
                <w:szCs w:val="22"/>
              </w:rPr>
              <w:t>Filing Utility</w:t>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540"/>
              </w:tabs>
              <w:jc w:val="center"/>
              <w:rPr>
                <w:rFonts w:ascii="Times New Roman" w:hAnsi="Times New Roman" w:eastAsia="Times New Roman" w:cs="Times New Roman"/>
                <w:b/>
                <w:bCs/>
                <w:i/>
                <w:i/>
                <w:iCs/>
                <w:sz w:val="22"/>
                <w:szCs w:val="22"/>
              </w:rPr>
            </w:pPr>
            <w:r>
              <w:rPr>
                <w:rFonts w:eastAsia="Times New Roman" w:cs="Times New Roman" w:ascii="Times New Roman" w:hAnsi="Times New Roman"/>
                <w:b/>
                <w:bCs/>
                <w:i/>
                <w:iCs/>
                <w:sz w:val="22"/>
                <w:szCs w:val="22"/>
              </w:rPr>
              <w:t>Docket No.</w:t>
            </w:r>
          </w:p>
        </w:tc>
        <w:tc>
          <w:tcPr>
            <w:tcW w:w="3150" w:type="dxa"/>
            <w:tcBorders>
              <w:top w:val="single" w:sz="6" w:space="0" w:color="000000"/>
              <w:start w:val="single" w:sz="6" w:space="0" w:color="000000"/>
              <w:bottom w:val="single" w:sz="6" w:space="0" w:color="000000"/>
              <w:end w:val="single" w:sz="6" w:space="0" w:color="000000"/>
            </w:tcBorders>
          </w:tcPr>
          <w:p>
            <w:pPr>
              <w:pStyle w:val="Normal"/>
              <w:tabs>
                <w:tab w:val="clear" w:pos="540"/>
              </w:tabs>
              <w:jc w:val="center"/>
              <w:rPr>
                <w:rFonts w:ascii="Times New Roman" w:hAnsi="Times New Roman" w:eastAsia="Times New Roman" w:cs="Times New Roman"/>
                <w:b/>
                <w:bCs/>
                <w:i/>
                <w:i/>
                <w:iCs/>
                <w:sz w:val="22"/>
                <w:szCs w:val="22"/>
              </w:rPr>
            </w:pPr>
            <w:r>
              <w:rPr>
                <w:rFonts w:eastAsia="Times New Roman" w:cs="Times New Roman" w:ascii="Times New Roman" w:hAnsi="Times New Roman"/>
                <w:b/>
                <w:bCs/>
                <w:i/>
                <w:iCs/>
                <w:sz w:val="22"/>
                <w:szCs w:val="22"/>
              </w:rPr>
              <w:t>Other Party</w:t>
            </w:r>
          </w:p>
        </w:tc>
      </w:tr>
      <w:tr>
        <w:trPr/>
        <w:tc>
          <w:tcPr>
            <w:tcW w:w="342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Ameren Operating</w:t>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ER00-0780</w:t>
            </w:r>
          </w:p>
        </w:tc>
        <w:tc>
          <w:tcPr>
            <w:tcW w:w="315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Mid-American Energy</w:t>
            </w:r>
          </w:p>
        </w:tc>
      </w:tr>
      <w:tr>
        <w:trPr/>
        <w:tc>
          <w:tcPr>
            <w:tcW w:w="3420" w:type="dxa"/>
            <w:tcBorders>
              <w:top w:val="single" w:sz="6" w:space="0" w:color="000000"/>
              <w:start w:val="single" w:sz="6" w:space="0" w:color="000000"/>
              <w:bottom w:val="single" w:sz="6" w:space="0" w:color="000000"/>
              <w:end w:val="single" w:sz="6" w:space="0" w:color="000000"/>
            </w:tcBorders>
          </w:tcPr>
          <w:p>
            <w:pPr>
              <w:pStyle w:val="Normal"/>
              <w:tabs>
                <w:tab w:val="clear" w:pos="540"/>
              </w:tabs>
              <w:snapToGrid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540"/>
              </w:tabs>
              <w:ind w:start="252" w:end="0"/>
              <w:rPr>
                <w:rFonts w:ascii="Times New Roman" w:hAnsi="Times New Roman" w:eastAsia="Times New Roman" w:cs="Times New Roman"/>
                <w:sz w:val="20"/>
                <w:szCs w:val="20"/>
              </w:rPr>
            </w:pPr>
            <w:r>
              <w:rPr>
                <w:rFonts w:eastAsia="Times New Roman" w:cs="Times New Roman" w:ascii="Times New Roman" w:hAnsi="Times New Roman"/>
                <w:sz w:val="20"/>
                <w:szCs w:val="20"/>
              </w:rPr>
              <w:t>00-0781</w:t>
            </w:r>
          </w:p>
        </w:tc>
        <w:tc>
          <w:tcPr>
            <w:tcW w:w="315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Mid-American Energy</w:t>
            </w:r>
          </w:p>
        </w:tc>
      </w:tr>
      <w:tr>
        <w:trPr/>
        <w:tc>
          <w:tcPr>
            <w:tcW w:w="342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APS Operating Companies</w:t>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540"/>
              </w:tabs>
              <w:ind w:start="252" w:end="0"/>
              <w:rPr>
                <w:rFonts w:ascii="Times New Roman" w:hAnsi="Times New Roman" w:eastAsia="Times New Roman" w:cs="Times New Roman"/>
                <w:sz w:val="20"/>
                <w:szCs w:val="20"/>
              </w:rPr>
            </w:pPr>
            <w:r>
              <w:rPr>
                <w:rFonts w:eastAsia="Times New Roman" w:cs="Times New Roman" w:ascii="Times New Roman" w:hAnsi="Times New Roman"/>
                <w:sz w:val="20"/>
                <w:szCs w:val="20"/>
              </w:rPr>
              <w:t>00-0757</w:t>
            </w:r>
          </w:p>
        </w:tc>
        <w:tc>
          <w:tcPr>
            <w:tcW w:w="315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Edison Mission Mktg &amp; Trading</w:t>
            </w:r>
          </w:p>
        </w:tc>
      </w:tr>
      <w:tr>
        <w:trPr/>
        <w:tc>
          <w:tcPr>
            <w:tcW w:w="3420" w:type="dxa"/>
            <w:tcBorders>
              <w:top w:val="single" w:sz="6" w:space="0" w:color="000000"/>
              <w:start w:val="single" w:sz="6" w:space="0" w:color="000000"/>
              <w:bottom w:val="single" w:sz="6" w:space="0" w:color="000000"/>
              <w:end w:val="single" w:sz="6" w:space="0" w:color="000000"/>
            </w:tcBorders>
          </w:tcPr>
          <w:p>
            <w:pPr>
              <w:pStyle w:val="Normal"/>
              <w:tabs>
                <w:tab w:val="clear" w:pos="540"/>
              </w:tabs>
              <w:snapToGrid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540"/>
              </w:tabs>
              <w:ind w:start="252" w:end="0"/>
              <w:rPr>
                <w:rFonts w:ascii="Times New Roman" w:hAnsi="Times New Roman" w:eastAsia="Times New Roman" w:cs="Times New Roman"/>
                <w:sz w:val="20"/>
                <w:szCs w:val="20"/>
              </w:rPr>
            </w:pPr>
            <w:r>
              <w:rPr>
                <w:rFonts w:eastAsia="Times New Roman" w:cs="Times New Roman" w:ascii="Times New Roman" w:hAnsi="Times New Roman"/>
                <w:sz w:val="20"/>
                <w:szCs w:val="20"/>
              </w:rPr>
              <w:t>00-0786</w:t>
            </w:r>
          </w:p>
        </w:tc>
        <w:tc>
          <w:tcPr>
            <w:tcW w:w="315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Allegheny Energy Supply Co.</w:t>
            </w:r>
          </w:p>
        </w:tc>
      </w:tr>
      <w:tr>
        <w:trPr/>
        <w:tc>
          <w:tcPr>
            <w:tcW w:w="342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Arizona Public Service</w:t>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540"/>
              </w:tabs>
              <w:ind w:start="252" w:end="0"/>
              <w:rPr>
                <w:rFonts w:ascii="Times New Roman" w:hAnsi="Times New Roman" w:eastAsia="Times New Roman" w:cs="Times New Roman"/>
                <w:sz w:val="20"/>
                <w:szCs w:val="20"/>
              </w:rPr>
            </w:pPr>
            <w:r>
              <w:rPr>
                <w:rFonts w:eastAsia="Times New Roman" w:cs="Times New Roman" w:ascii="Times New Roman" w:hAnsi="Times New Roman"/>
                <w:sz w:val="20"/>
                <w:szCs w:val="20"/>
              </w:rPr>
              <w:t>00-0753</w:t>
            </w:r>
          </w:p>
        </w:tc>
        <w:tc>
          <w:tcPr>
            <w:tcW w:w="315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Energy Authority, Inc.</w:t>
            </w:r>
          </w:p>
        </w:tc>
      </w:tr>
      <w:tr>
        <w:trPr/>
        <w:tc>
          <w:tcPr>
            <w:tcW w:w="342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Avista Corp.</w:t>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540"/>
              </w:tabs>
              <w:ind w:start="252" w:end="0"/>
              <w:rPr>
                <w:rFonts w:ascii="Times New Roman" w:hAnsi="Times New Roman" w:eastAsia="Times New Roman" w:cs="Times New Roman"/>
                <w:sz w:val="20"/>
                <w:szCs w:val="20"/>
              </w:rPr>
            </w:pPr>
            <w:r>
              <w:rPr>
                <w:rFonts w:eastAsia="Times New Roman" w:cs="Times New Roman" w:ascii="Times New Roman" w:hAnsi="Times New Roman"/>
                <w:sz w:val="20"/>
                <w:szCs w:val="20"/>
              </w:rPr>
              <w:t>00-0732</w:t>
            </w:r>
          </w:p>
        </w:tc>
        <w:tc>
          <w:tcPr>
            <w:tcW w:w="315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Pend Oreille County</w:t>
            </w:r>
          </w:p>
        </w:tc>
      </w:tr>
      <w:tr>
        <w:trPr/>
        <w:tc>
          <w:tcPr>
            <w:tcW w:w="3420" w:type="dxa"/>
            <w:tcBorders>
              <w:top w:val="single" w:sz="6" w:space="0" w:color="000000"/>
              <w:start w:val="single" w:sz="6" w:space="0" w:color="000000"/>
              <w:bottom w:val="single" w:sz="6" w:space="0" w:color="000000"/>
              <w:end w:val="single" w:sz="6" w:space="0" w:color="000000"/>
            </w:tcBorders>
          </w:tcPr>
          <w:p>
            <w:pPr>
              <w:pStyle w:val="Normal"/>
              <w:tabs>
                <w:tab w:val="clear" w:pos="540"/>
              </w:tabs>
              <w:snapToGrid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540"/>
              </w:tabs>
              <w:ind w:start="252" w:end="0"/>
              <w:rPr>
                <w:rFonts w:ascii="Times New Roman" w:hAnsi="Times New Roman" w:eastAsia="Times New Roman" w:cs="Times New Roman"/>
                <w:sz w:val="20"/>
                <w:szCs w:val="20"/>
              </w:rPr>
            </w:pPr>
            <w:r>
              <w:rPr>
                <w:rFonts w:eastAsia="Times New Roman" w:cs="Times New Roman" w:ascii="Times New Roman" w:hAnsi="Times New Roman"/>
                <w:sz w:val="20"/>
                <w:szCs w:val="20"/>
              </w:rPr>
              <w:t>00-0754</w:t>
            </w:r>
          </w:p>
        </w:tc>
        <w:tc>
          <w:tcPr>
            <w:tcW w:w="315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Avista Corp.</w:t>
            </w:r>
          </w:p>
        </w:tc>
      </w:tr>
      <w:tr>
        <w:trPr/>
        <w:tc>
          <w:tcPr>
            <w:tcW w:w="342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California ISO</w:t>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540"/>
              </w:tabs>
              <w:ind w:start="252" w:end="0"/>
              <w:rPr>
                <w:rFonts w:ascii="Times New Roman" w:hAnsi="Times New Roman" w:eastAsia="Times New Roman" w:cs="Times New Roman"/>
                <w:sz w:val="20"/>
                <w:szCs w:val="20"/>
              </w:rPr>
            </w:pPr>
            <w:r>
              <w:rPr>
                <w:rFonts w:eastAsia="Times New Roman" w:cs="Times New Roman" w:ascii="Times New Roman" w:hAnsi="Times New Roman"/>
                <w:sz w:val="20"/>
                <w:szCs w:val="20"/>
              </w:rPr>
              <w:t>00-0726</w:t>
            </w:r>
          </w:p>
        </w:tc>
        <w:tc>
          <w:tcPr>
            <w:tcW w:w="315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Puget Sound Energy</w:t>
            </w:r>
          </w:p>
        </w:tc>
      </w:tr>
      <w:tr>
        <w:trPr/>
        <w:tc>
          <w:tcPr>
            <w:tcW w:w="3420" w:type="dxa"/>
            <w:tcBorders>
              <w:top w:val="single" w:sz="6" w:space="0" w:color="000000"/>
              <w:start w:val="single" w:sz="6" w:space="0" w:color="000000"/>
              <w:bottom w:val="single" w:sz="6" w:space="0" w:color="000000"/>
              <w:end w:val="single" w:sz="6" w:space="0" w:color="000000"/>
            </w:tcBorders>
          </w:tcPr>
          <w:p>
            <w:pPr>
              <w:pStyle w:val="Normal"/>
              <w:tabs>
                <w:tab w:val="clear" w:pos="540"/>
              </w:tabs>
              <w:snapToGrid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540"/>
              </w:tabs>
              <w:ind w:start="252" w:end="0"/>
              <w:rPr>
                <w:rFonts w:ascii="Times New Roman" w:hAnsi="Times New Roman" w:eastAsia="Times New Roman" w:cs="Times New Roman"/>
                <w:sz w:val="20"/>
                <w:szCs w:val="20"/>
              </w:rPr>
            </w:pPr>
            <w:r>
              <w:rPr>
                <w:rFonts w:eastAsia="Times New Roman" w:cs="Times New Roman" w:ascii="Times New Roman" w:hAnsi="Times New Roman"/>
                <w:sz w:val="20"/>
                <w:szCs w:val="20"/>
              </w:rPr>
              <w:t>00-0737</w:t>
            </w:r>
          </w:p>
        </w:tc>
        <w:tc>
          <w:tcPr>
            <w:tcW w:w="315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El Dorado Energy</w:t>
            </w:r>
          </w:p>
        </w:tc>
      </w:tr>
      <w:tr>
        <w:trPr/>
        <w:tc>
          <w:tcPr>
            <w:tcW w:w="3420" w:type="dxa"/>
            <w:tcBorders>
              <w:top w:val="single" w:sz="6" w:space="0" w:color="000000"/>
              <w:start w:val="single" w:sz="6" w:space="0" w:color="000000"/>
              <w:bottom w:val="single" w:sz="6" w:space="0" w:color="000000"/>
              <w:end w:val="single" w:sz="6" w:space="0" w:color="000000"/>
            </w:tcBorders>
          </w:tcPr>
          <w:p>
            <w:pPr>
              <w:pStyle w:val="Normal"/>
              <w:tabs>
                <w:tab w:val="clear" w:pos="540"/>
              </w:tabs>
              <w:snapToGrid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540"/>
              </w:tabs>
              <w:ind w:start="252" w:end="0"/>
              <w:rPr>
                <w:rFonts w:ascii="Times New Roman" w:hAnsi="Times New Roman" w:eastAsia="Times New Roman" w:cs="Times New Roman"/>
                <w:sz w:val="20"/>
                <w:szCs w:val="20"/>
              </w:rPr>
            </w:pPr>
            <w:r>
              <w:rPr>
                <w:rFonts w:eastAsia="Times New Roman" w:cs="Times New Roman" w:ascii="Times New Roman" w:hAnsi="Times New Roman"/>
                <w:sz w:val="20"/>
                <w:szCs w:val="20"/>
              </w:rPr>
              <w:t>00-0738</w:t>
            </w:r>
          </w:p>
        </w:tc>
        <w:tc>
          <w:tcPr>
            <w:tcW w:w="315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El Dorado Energy</w:t>
            </w:r>
          </w:p>
        </w:tc>
      </w:tr>
      <w:tr>
        <w:trPr/>
        <w:tc>
          <w:tcPr>
            <w:tcW w:w="342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Central Illinois Light</w:t>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540"/>
              </w:tabs>
              <w:ind w:start="252" w:end="0"/>
              <w:rPr>
                <w:rFonts w:ascii="Times New Roman" w:hAnsi="Times New Roman" w:eastAsia="Times New Roman" w:cs="Times New Roman"/>
                <w:sz w:val="20"/>
                <w:szCs w:val="20"/>
              </w:rPr>
            </w:pPr>
            <w:r>
              <w:rPr>
                <w:rFonts w:eastAsia="Times New Roman" w:cs="Times New Roman" w:ascii="Times New Roman" w:hAnsi="Times New Roman"/>
                <w:sz w:val="20"/>
                <w:szCs w:val="20"/>
              </w:rPr>
              <w:t>00-0748</w:t>
            </w:r>
          </w:p>
        </w:tc>
        <w:tc>
          <w:tcPr>
            <w:tcW w:w="315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Conectiv Energy (2), Supply, Inc.(2) Delmarva Power &amp; Light (2) Engage Energy US (2)</w:t>
            </w:r>
          </w:p>
        </w:tc>
      </w:tr>
      <w:tr>
        <w:trPr/>
        <w:tc>
          <w:tcPr>
            <w:tcW w:w="342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Commonwealth Edison</w:t>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540"/>
              </w:tabs>
              <w:ind w:start="252" w:end="0"/>
              <w:rPr>
                <w:rFonts w:ascii="Times New Roman" w:hAnsi="Times New Roman" w:eastAsia="Times New Roman" w:cs="Times New Roman"/>
                <w:sz w:val="20"/>
                <w:szCs w:val="20"/>
              </w:rPr>
            </w:pPr>
            <w:r>
              <w:rPr>
                <w:rFonts w:eastAsia="Times New Roman" w:cs="Times New Roman" w:ascii="Times New Roman" w:hAnsi="Times New Roman"/>
                <w:sz w:val="20"/>
                <w:szCs w:val="20"/>
              </w:rPr>
              <w:t>00-0752</w:t>
            </w:r>
          </w:p>
        </w:tc>
        <w:tc>
          <w:tcPr>
            <w:tcW w:w="315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City of Rochelle</w:t>
            </w:r>
          </w:p>
        </w:tc>
      </w:tr>
      <w:tr>
        <w:trPr/>
        <w:tc>
          <w:tcPr>
            <w:tcW w:w="342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Consumers Energy/Detroit Edison</w:t>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540"/>
              </w:tabs>
              <w:ind w:start="252" w:end="0"/>
              <w:rPr>
                <w:rFonts w:ascii="Times New Roman" w:hAnsi="Times New Roman" w:eastAsia="Times New Roman" w:cs="Times New Roman"/>
                <w:sz w:val="20"/>
                <w:szCs w:val="20"/>
              </w:rPr>
            </w:pPr>
            <w:r>
              <w:rPr>
                <w:rFonts w:eastAsia="Times New Roman" w:cs="Times New Roman" w:ascii="Times New Roman" w:hAnsi="Times New Roman"/>
                <w:sz w:val="20"/>
                <w:szCs w:val="20"/>
              </w:rPr>
              <w:t>00-0709</w:t>
            </w:r>
          </w:p>
        </w:tc>
        <w:tc>
          <w:tcPr>
            <w:tcW w:w="315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Thumb Electric Cooperative</w:t>
            </w:r>
          </w:p>
        </w:tc>
      </w:tr>
      <w:tr>
        <w:trPr/>
        <w:tc>
          <w:tcPr>
            <w:tcW w:w="3420" w:type="dxa"/>
            <w:tcBorders>
              <w:top w:val="single" w:sz="6" w:space="0" w:color="000000"/>
              <w:start w:val="single" w:sz="6" w:space="0" w:color="000000"/>
              <w:bottom w:val="single" w:sz="6" w:space="0" w:color="000000"/>
              <w:end w:val="single" w:sz="6" w:space="0" w:color="000000"/>
            </w:tcBorders>
          </w:tcPr>
          <w:p>
            <w:pPr>
              <w:pStyle w:val="Normal"/>
              <w:tabs>
                <w:tab w:val="clear" w:pos="540"/>
              </w:tabs>
              <w:snapToGrid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540"/>
              </w:tabs>
              <w:ind w:start="252" w:end="0"/>
              <w:rPr>
                <w:rFonts w:ascii="Times New Roman" w:hAnsi="Times New Roman" w:eastAsia="Times New Roman" w:cs="Times New Roman"/>
                <w:sz w:val="20"/>
                <w:szCs w:val="20"/>
              </w:rPr>
            </w:pPr>
            <w:r>
              <w:rPr>
                <w:rFonts w:eastAsia="Times New Roman" w:cs="Times New Roman" w:ascii="Times New Roman" w:hAnsi="Times New Roman"/>
                <w:sz w:val="20"/>
                <w:szCs w:val="20"/>
              </w:rPr>
              <w:t>00-0788</w:t>
            </w:r>
          </w:p>
        </w:tc>
        <w:tc>
          <w:tcPr>
            <w:tcW w:w="315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Consumers Energy, AEP Operating</w:t>
            </w:r>
          </w:p>
        </w:tc>
      </w:tr>
      <w:tr>
        <w:trPr/>
        <w:tc>
          <w:tcPr>
            <w:tcW w:w="3420" w:type="dxa"/>
            <w:tcBorders>
              <w:top w:val="single" w:sz="6" w:space="0" w:color="000000"/>
              <w:start w:val="single" w:sz="6" w:space="0" w:color="000000"/>
              <w:bottom w:val="single" w:sz="6" w:space="0" w:color="000000"/>
              <w:end w:val="single" w:sz="6" w:space="0" w:color="000000"/>
            </w:tcBorders>
          </w:tcPr>
          <w:p>
            <w:pPr>
              <w:pStyle w:val="Normal"/>
              <w:tabs>
                <w:tab w:val="clear" w:pos="540"/>
              </w:tabs>
              <w:snapToGrid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540"/>
              </w:tabs>
              <w:ind w:start="252" w:end="0"/>
              <w:rPr>
                <w:rFonts w:ascii="Times New Roman" w:hAnsi="Times New Roman" w:eastAsia="Times New Roman" w:cs="Times New Roman"/>
                <w:sz w:val="20"/>
                <w:szCs w:val="20"/>
              </w:rPr>
            </w:pPr>
            <w:r>
              <w:rPr>
                <w:rFonts w:eastAsia="Times New Roman" w:cs="Times New Roman" w:ascii="Times New Roman" w:hAnsi="Times New Roman"/>
                <w:sz w:val="20"/>
                <w:szCs w:val="20"/>
              </w:rPr>
              <w:t>00-0790</w:t>
            </w:r>
          </w:p>
        </w:tc>
        <w:tc>
          <w:tcPr>
            <w:tcW w:w="315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Cinergy Operating, CMS Marketing Service, Consumers Energy, Electric Sourcing &amp; Trading, Duke Operating Cos., Lansing Board of Water &amp; Light, Minnesota Power, Morgan Stanley Capital Group, Northern Indiana, Public Service Co. OGE Energy Resources, PECO Energy, PP&amp;L, Tenaska Power Services, Tractebel Energy Marketing, Virginia Electric and Power</w:t>
            </w:r>
          </w:p>
        </w:tc>
      </w:tr>
      <w:tr>
        <w:trPr/>
        <w:tc>
          <w:tcPr>
            <w:tcW w:w="342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Consumers Energy</w:t>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540"/>
              </w:tabs>
              <w:ind w:start="252" w:end="0"/>
              <w:rPr>
                <w:rFonts w:ascii="Times New Roman" w:hAnsi="Times New Roman" w:eastAsia="Times New Roman" w:cs="Times New Roman"/>
                <w:sz w:val="20"/>
                <w:szCs w:val="20"/>
              </w:rPr>
            </w:pPr>
            <w:r>
              <w:rPr>
                <w:rFonts w:eastAsia="Times New Roman" w:cs="Times New Roman" w:ascii="Times New Roman" w:hAnsi="Times New Roman"/>
                <w:sz w:val="20"/>
                <w:szCs w:val="20"/>
              </w:rPr>
              <w:t>00-0789</w:t>
            </w:r>
          </w:p>
        </w:tc>
        <w:tc>
          <w:tcPr>
            <w:tcW w:w="315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Commonwealth Edison</w:t>
            </w:r>
          </w:p>
        </w:tc>
      </w:tr>
      <w:tr>
        <w:trPr/>
        <w:tc>
          <w:tcPr>
            <w:tcW w:w="342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FirstEnergy Operating Companies</w:t>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540"/>
              </w:tabs>
              <w:ind w:start="252" w:end="0"/>
              <w:rPr>
                <w:rFonts w:ascii="Times New Roman" w:hAnsi="Times New Roman" w:eastAsia="Times New Roman" w:cs="Times New Roman"/>
                <w:sz w:val="20"/>
                <w:szCs w:val="20"/>
              </w:rPr>
            </w:pPr>
            <w:r>
              <w:rPr>
                <w:rFonts w:eastAsia="Times New Roman" w:cs="Times New Roman" w:ascii="Times New Roman" w:hAnsi="Times New Roman"/>
                <w:sz w:val="20"/>
                <w:szCs w:val="20"/>
              </w:rPr>
              <w:t>00-0758</w:t>
            </w:r>
          </w:p>
        </w:tc>
        <w:tc>
          <w:tcPr>
            <w:tcW w:w="315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Edison Mission Mktg &amp; Trading</w:t>
            </w:r>
          </w:p>
        </w:tc>
      </w:tr>
      <w:tr>
        <w:trPr/>
        <w:tc>
          <w:tcPr>
            <w:tcW w:w="3420" w:type="dxa"/>
            <w:tcBorders>
              <w:top w:val="single" w:sz="6" w:space="0" w:color="000000"/>
              <w:start w:val="single" w:sz="6" w:space="0" w:color="000000"/>
              <w:bottom w:val="single" w:sz="6" w:space="0" w:color="000000"/>
              <w:end w:val="single" w:sz="6" w:space="0" w:color="000000"/>
            </w:tcBorders>
          </w:tcPr>
          <w:p>
            <w:pPr>
              <w:pStyle w:val="Normal"/>
              <w:tabs>
                <w:tab w:val="clear" w:pos="540"/>
              </w:tabs>
              <w:snapToGrid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540"/>
              </w:tabs>
              <w:ind w:start="252" w:end="0"/>
              <w:rPr>
                <w:rFonts w:ascii="Times New Roman" w:hAnsi="Times New Roman" w:eastAsia="Times New Roman" w:cs="Times New Roman"/>
                <w:sz w:val="20"/>
                <w:szCs w:val="20"/>
              </w:rPr>
            </w:pPr>
            <w:r>
              <w:rPr>
                <w:rFonts w:eastAsia="Times New Roman" w:cs="Times New Roman" w:ascii="Times New Roman" w:hAnsi="Times New Roman"/>
                <w:sz w:val="20"/>
                <w:szCs w:val="20"/>
              </w:rPr>
              <w:t>00-0759</w:t>
            </w:r>
          </w:p>
        </w:tc>
        <w:tc>
          <w:tcPr>
            <w:tcW w:w="315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Edison Mission Mktg &amp; Trading</w:t>
            </w:r>
          </w:p>
        </w:tc>
      </w:tr>
      <w:tr>
        <w:trPr/>
        <w:tc>
          <w:tcPr>
            <w:tcW w:w="342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Florida Power 7 Light</w:t>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540"/>
              </w:tabs>
              <w:ind w:start="252" w:end="0"/>
              <w:rPr>
                <w:rFonts w:ascii="Times New Roman" w:hAnsi="Times New Roman" w:eastAsia="Times New Roman" w:cs="Times New Roman"/>
                <w:sz w:val="20"/>
                <w:szCs w:val="20"/>
              </w:rPr>
            </w:pPr>
            <w:r>
              <w:rPr>
                <w:rFonts w:eastAsia="Times New Roman" w:cs="Times New Roman" w:ascii="Times New Roman" w:hAnsi="Times New Roman"/>
                <w:sz w:val="20"/>
                <w:szCs w:val="20"/>
              </w:rPr>
              <w:t>00-0720</w:t>
            </w:r>
          </w:p>
        </w:tc>
        <w:tc>
          <w:tcPr>
            <w:tcW w:w="315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South Carolina Electric &amp; Gas</w:t>
            </w:r>
          </w:p>
        </w:tc>
      </w:tr>
      <w:tr>
        <w:trPr/>
        <w:tc>
          <w:tcPr>
            <w:tcW w:w="342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Northern Indiana Public Service Co.</w:t>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540"/>
              </w:tabs>
              <w:ind w:start="252" w:end="0"/>
              <w:rPr>
                <w:rFonts w:ascii="Times New Roman" w:hAnsi="Times New Roman" w:eastAsia="Times New Roman" w:cs="Times New Roman"/>
                <w:sz w:val="20"/>
                <w:szCs w:val="20"/>
              </w:rPr>
            </w:pPr>
            <w:r>
              <w:rPr>
                <w:rFonts w:eastAsia="Times New Roman" w:cs="Times New Roman" w:ascii="Times New Roman" w:hAnsi="Times New Roman"/>
                <w:sz w:val="20"/>
                <w:szCs w:val="20"/>
              </w:rPr>
              <w:t>00-0704</w:t>
            </w:r>
          </w:p>
        </w:tc>
        <w:tc>
          <w:tcPr>
            <w:tcW w:w="315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APS Operating Cos.</w:t>
            </w:r>
          </w:p>
        </w:tc>
      </w:tr>
      <w:tr>
        <w:trPr/>
        <w:tc>
          <w:tcPr>
            <w:tcW w:w="342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NU Operating Companies</w:t>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540"/>
              </w:tabs>
              <w:ind w:start="252" w:end="0"/>
              <w:rPr>
                <w:rFonts w:ascii="Times New Roman" w:hAnsi="Times New Roman" w:eastAsia="Times New Roman" w:cs="Times New Roman"/>
                <w:sz w:val="20"/>
                <w:szCs w:val="20"/>
              </w:rPr>
            </w:pPr>
            <w:r>
              <w:rPr>
                <w:rFonts w:eastAsia="Times New Roman" w:cs="Times New Roman" w:ascii="Times New Roman" w:hAnsi="Times New Roman"/>
                <w:sz w:val="20"/>
                <w:szCs w:val="20"/>
              </w:rPr>
              <w:t>00-0712</w:t>
            </w:r>
          </w:p>
        </w:tc>
        <w:tc>
          <w:tcPr>
            <w:tcW w:w="315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El Paso Power Services</w:t>
            </w:r>
          </w:p>
        </w:tc>
      </w:tr>
      <w:tr>
        <w:trPr/>
        <w:tc>
          <w:tcPr>
            <w:tcW w:w="342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PECO Energy</w:t>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540"/>
              </w:tabs>
              <w:ind w:start="252" w:end="0"/>
              <w:rPr>
                <w:rFonts w:ascii="Times New Roman" w:hAnsi="Times New Roman" w:eastAsia="Times New Roman" w:cs="Times New Roman"/>
                <w:sz w:val="20"/>
                <w:szCs w:val="20"/>
              </w:rPr>
            </w:pPr>
            <w:r>
              <w:rPr>
                <w:rFonts w:eastAsia="Times New Roman" w:cs="Times New Roman" w:ascii="Times New Roman" w:hAnsi="Times New Roman"/>
                <w:sz w:val="20"/>
                <w:szCs w:val="20"/>
              </w:rPr>
              <w:t>00-0792</w:t>
            </w:r>
          </w:p>
        </w:tc>
        <w:tc>
          <w:tcPr>
            <w:tcW w:w="315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Enron Power Marketing</w:t>
            </w:r>
          </w:p>
        </w:tc>
      </w:tr>
      <w:tr>
        <w:trPr/>
        <w:tc>
          <w:tcPr>
            <w:tcW w:w="3420" w:type="dxa"/>
            <w:tcBorders>
              <w:top w:val="single" w:sz="6" w:space="0" w:color="000000"/>
              <w:start w:val="single" w:sz="6" w:space="0" w:color="000000"/>
              <w:bottom w:val="single" w:sz="6" w:space="0" w:color="000000"/>
              <w:end w:val="single" w:sz="6" w:space="0" w:color="000000"/>
            </w:tcBorders>
          </w:tcPr>
          <w:p>
            <w:pPr>
              <w:pStyle w:val="Normal"/>
              <w:tabs>
                <w:tab w:val="clear" w:pos="540"/>
              </w:tabs>
              <w:snapToGrid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540"/>
              </w:tabs>
              <w:ind w:start="252" w:end="0"/>
              <w:rPr>
                <w:rFonts w:ascii="Times New Roman" w:hAnsi="Times New Roman" w:eastAsia="Times New Roman" w:cs="Times New Roman"/>
                <w:sz w:val="20"/>
                <w:szCs w:val="20"/>
              </w:rPr>
            </w:pPr>
            <w:r>
              <w:rPr>
                <w:rFonts w:eastAsia="Times New Roman" w:cs="Times New Roman" w:ascii="Times New Roman" w:hAnsi="Times New Roman"/>
                <w:sz w:val="20"/>
                <w:szCs w:val="20"/>
              </w:rPr>
              <w:t>00-0793</w:t>
            </w:r>
          </w:p>
        </w:tc>
        <w:tc>
          <w:tcPr>
            <w:tcW w:w="315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Allegheny Electric Cooperative</w:t>
            </w:r>
          </w:p>
        </w:tc>
      </w:tr>
      <w:tr>
        <w:trPr/>
        <w:tc>
          <w:tcPr>
            <w:tcW w:w="342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PP&amp;L</w:t>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540"/>
              </w:tabs>
              <w:ind w:start="252" w:end="0"/>
              <w:rPr>
                <w:rFonts w:ascii="Times New Roman" w:hAnsi="Times New Roman" w:eastAsia="Times New Roman" w:cs="Times New Roman"/>
                <w:sz w:val="20"/>
                <w:szCs w:val="20"/>
              </w:rPr>
            </w:pPr>
            <w:r>
              <w:rPr>
                <w:rFonts w:eastAsia="Times New Roman" w:cs="Times New Roman" w:ascii="Times New Roman" w:hAnsi="Times New Roman"/>
                <w:sz w:val="20"/>
                <w:szCs w:val="20"/>
              </w:rPr>
              <w:t>00-0747</w:t>
            </w:r>
          </w:p>
        </w:tc>
        <w:tc>
          <w:tcPr>
            <w:tcW w:w="315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Alternate Power Source</w:t>
            </w:r>
          </w:p>
        </w:tc>
      </w:tr>
      <w:tr>
        <w:trPr/>
        <w:tc>
          <w:tcPr>
            <w:tcW w:w="3420" w:type="dxa"/>
            <w:tcBorders>
              <w:top w:val="single" w:sz="6" w:space="0" w:color="000000"/>
              <w:start w:val="single" w:sz="6" w:space="0" w:color="000000"/>
              <w:bottom w:val="single" w:sz="6" w:space="0" w:color="000000"/>
              <w:end w:val="single" w:sz="6" w:space="0" w:color="000000"/>
            </w:tcBorders>
          </w:tcPr>
          <w:p>
            <w:pPr>
              <w:pStyle w:val="Normal"/>
              <w:tabs>
                <w:tab w:val="clear" w:pos="540"/>
              </w:tabs>
              <w:snapToGrid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540"/>
              </w:tabs>
              <w:ind w:start="252" w:end="0"/>
              <w:rPr>
                <w:rFonts w:ascii="Times New Roman" w:hAnsi="Times New Roman" w:eastAsia="Times New Roman" w:cs="Times New Roman"/>
                <w:sz w:val="20"/>
                <w:szCs w:val="20"/>
              </w:rPr>
            </w:pPr>
            <w:r>
              <w:rPr>
                <w:rFonts w:eastAsia="Times New Roman" w:cs="Times New Roman" w:ascii="Times New Roman" w:hAnsi="Times New Roman"/>
                <w:sz w:val="20"/>
                <w:szCs w:val="20"/>
              </w:rPr>
              <w:t>00-0751</w:t>
            </w:r>
          </w:p>
        </w:tc>
        <w:tc>
          <w:tcPr>
            <w:tcW w:w="315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PG&amp;E Energy Trading Power</w:t>
            </w:r>
          </w:p>
        </w:tc>
      </w:tr>
      <w:tr>
        <w:trPr/>
        <w:tc>
          <w:tcPr>
            <w:tcW w:w="342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Public Service Company of Colorado</w:t>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540"/>
              </w:tabs>
              <w:ind w:start="252" w:end="0"/>
              <w:rPr>
                <w:rFonts w:ascii="Times New Roman" w:hAnsi="Times New Roman" w:eastAsia="Times New Roman" w:cs="Times New Roman"/>
                <w:sz w:val="20"/>
                <w:szCs w:val="20"/>
              </w:rPr>
            </w:pPr>
            <w:r>
              <w:rPr>
                <w:rFonts w:eastAsia="Times New Roman" w:cs="Times New Roman" w:ascii="Times New Roman" w:hAnsi="Times New Roman"/>
                <w:sz w:val="20"/>
                <w:szCs w:val="20"/>
              </w:rPr>
              <w:t>00-0782</w:t>
            </w:r>
          </w:p>
        </w:tc>
        <w:tc>
          <w:tcPr>
            <w:tcW w:w="315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Utah Municipal Power Agency</w:t>
            </w:r>
          </w:p>
        </w:tc>
      </w:tr>
      <w:tr>
        <w:trPr/>
        <w:tc>
          <w:tcPr>
            <w:tcW w:w="3420" w:type="dxa"/>
            <w:tcBorders>
              <w:top w:val="single" w:sz="6" w:space="0" w:color="000000"/>
              <w:start w:val="single" w:sz="6" w:space="0" w:color="000000"/>
              <w:bottom w:val="single" w:sz="6" w:space="0" w:color="000000"/>
              <w:end w:val="single" w:sz="6" w:space="0" w:color="000000"/>
            </w:tcBorders>
          </w:tcPr>
          <w:p>
            <w:pPr>
              <w:pStyle w:val="Normal"/>
              <w:tabs>
                <w:tab w:val="clear" w:pos="540"/>
              </w:tabs>
              <w:snapToGrid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540"/>
              </w:tabs>
              <w:ind w:start="252" w:end="0"/>
              <w:rPr>
                <w:rFonts w:ascii="Times New Roman" w:hAnsi="Times New Roman" w:eastAsia="Times New Roman" w:cs="Times New Roman"/>
                <w:sz w:val="20"/>
                <w:szCs w:val="20"/>
              </w:rPr>
            </w:pPr>
            <w:r>
              <w:rPr>
                <w:rFonts w:eastAsia="Times New Roman" w:cs="Times New Roman" w:ascii="Times New Roman" w:hAnsi="Times New Roman"/>
                <w:sz w:val="20"/>
                <w:szCs w:val="20"/>
              </w:rPr>
              <w:t>00-0796</w:t>
            </w:r>
          </w:p>
        </w:tc>
        <w:tc>
          <w:tcPr>
            <w:tcW w:w="315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City of Glendale</w:t>
            </w:r>
          </w:p>
        </w:tc>
      </w:tr>
      <w:tr>
        <w:trPr/>
        <w:tc>
          <w:tcPr>
            <w:tcW w:w="3420" w:type="dxa"/>
            <w:tcBorders>
              <w:top w:val="single" w:sz="6" w:space="0" w:color="000000"/>
              <w:start w:val="single" w:sz="6" w:space="0" w:color="000000"/>
              <w:bottom w:val="single" w:sz="6" w:space="0" w:color="000000"/>
              <w:end w:val="single" w:sz="6" w:space="0" w:color="000000"/>
            </w:tcBorders>
          </w:tcPr>
          <w:p>
            <w:pPr>
              <w:pStyle w:val="Normal"/>
              <w:tabs>
                <w:tab w:val="clear" w:pos="540"/>
              </w:tabs>
              <w:snapToGrid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540"/>
              </w:tabs>
              <w:ind w:start="252" w:end="0"/>
              <w:rPr>
                <w:rFonts w:ascii="Times New Roman" w:hAnsi="Times New Roman" w:eastAsia="Times New Roman" w:cs="Times New Roman"/>
                <w:sz w:val="20"/>
                <w:szCs w:val="20"/>
              </w:rPr>
            </w:pPr>
            <w:r>
              <w:rPr>
                <w:rFonts w:eastAsia="Times New Roman" w:cs="Times New Roman" w:ascii="Times New Roman" w:hAnsi="Times New Roman"/>
                <w:sz w:val="20"/>
                <w:szCs w:val="20"/>
              </w:rPr>
              <w:t>00-0797</w:t>
            </w:r>
          </w:p>
        </w:tc>
        <w:tc>
          <w:tcPr>
            <w:tcW w:w="315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Enron Power Marketing</w:t>
            </w:r>
          </w:p>
        </w:tc>
      </w:tr>
      <w:tr>
        <w:trPr/>
        <w:tc>
          <w:tcPr>
            <w:tcW w:w="342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Puget Sound Energy</w:t>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540"/>
              </w:tabs>
              <w:ind w:start="252" w:end="0"/>
              <w:rPr>
                <w:rFonts w:ascii="Times New Roman" w:hAnsi="Times New Roman" w:eastAsia="Times New Roman" w:cs="Times New Roman"/>
                <w:sz w:val="20"/>
                <w:szCs w:val="20"/>
              </w:rPr>
            </w:pPr>
            <w:r>
              <w:rPr>
                <w:rFonts w:eastAsia="Times New Roman" w:cs="Times New Roman" w:ascii="Times New Roman" w:hAnsi="Times New Roman"/>
                <w:sz w:val="20"/>
                <w:szCs w:val="20"/>
              </w:rPr>
              <w:t>00-0734</w:t>
            </w:r>
          </w:p>
        </w:tc>
        <w:tc>
          <w:tcPr>
            <w:tcW w:w="315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Tacoma City Light, Southern Operating Cos.</w:t>
            </w:r>
          </w:p>
        </w:tc>
      </w:tr>
      <w:tr>
        <w:trPr/>
        <w:tc>
          <w:tcPr>
            <w:tcW w:w="3420" w:type="dxa"/>
            <w:tcBorders>
              <w:top w:val="single" w:sz="6" w:space="0" w:color="000000"/>
              <w:start w:val="single" w:sz="6" w:space="0" w:color="000000"/>
              <w:bottom w:val="single" w:sz="6" w:space="0" w:color="000000"/>
              <w:end w:val="single" w:sz="6" w:space="0" w:color="000000"/>
            </w:tcBorders>
          </w:tcPr>
          <w:p>
            <w:pPr>
              <w:pStyle w:val="Normal"/>
              <w:tabs>
                <w:tab w:val="clear" w:pos="540"/>
              </w:tabs>
              <w:snapToGrid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540"/>
              </w:tabs>
              <w:ind w:start="252" w:end="0"/>
              <w:rPr>
                <w:rFonts w:ascii="Times New Roman" w:hAnsi="Times New Roman" w:eastAsia="Times New Roman" w:cs="Times New Roman"/>
                <w:sz w:val="20"/>
                <w:szCs w:val="20"/>
              </w:rPr>
            </w:pPr>
            <w:r>
              <w:rPr>
                <w:rFonts w:eastAsia="Times New Roman" w:cs="Times New Roman" w:ascii="Times New Roman" w:hAnsi="Times New Roman"/>
                <w:sz w:val="20"/>
                <w:szCs w:val="20"/>
              </w:rPr>
              <w:t>00-0735</w:t>
            </w:r>
          </w:p>
        </w:tc>
        <w:tc>
          <w:tcPr>
            <w:tcW w:w="315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Southern Company Energy Mktg</w:t>
            </w:r>
          </w:p>
        </w:tc>
      </w:tr>
      <w:tr>
        <w:trPr/>
        <w:tc>
          <w:tcPr>
            <w:tcW w:w="3420" w:type="dxa"/>
            <w:tcBorders>
              <w:top w:val="single" w:sz="6" w:space="0" w:color="000000"/>
              <w:start w:val="single" w:sz="6" w:space="0" w:color="000000"/>
              <w:bottom w:val="single" w:sz="6" w:space="0" w:color="000000"/>
              <w:end w:val="single" w:sz="6" w:space="0" w:color="000000"/>
            </w:tcBorders>
          </w:tcPr>
          <w:p>
            <w:pPr>
              <w:pStyle w:val="Normal"/>
              <w:tabs>
                <w:tab w:val="clear" w:pos="540"/>
              </w:tabs>
              <w:snapToGrid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540"/>
              </w:tabs>
              <w:ind w:start="252" w:end="0"/>
              <w:rPr>
                <w:rFonts w:ascii="Times New Roman" w:hAnsi="Times New Roman" w:eastAsia="Times New Roman" w:cs="Times New Roman"/>
                <w:sz w:val="20"/>
                <w:szCs w:val="20"/>
              </w:rPr>
            </w:pPr>
            <w:r>
              <w:rPr>
                <w:rFonts w:eastAsia="Times New Roman" w:cs="Times New Roman" w:ascii="Times New Roman" w:hAnsi="Times New Roman"/>
                <w:sz w:val="20"/>
                <w:szCs w:val="20"/>
              </w:rPr>
              <w:t>00-0736</w:t>
            </w:r>
          </w:p>
        </w:tc>
        <w:tc>
          <w:tcPr>
            <w:tcW w:w="315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Southern Company Energy Mktg</w:t>
            </w:r>
          </w:p>
        </w:tc>
      </w:tr>
      <w:tr>
        <w:trPr/>
        <w:tc>
          <w:tcPr>
            <w:tcW w:w="342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Rochester Gas and Electric</w:t>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540"/>
              </w:tabs>
              <w:ind w:start="252" w:end="0"/>
              <w:rPr>
                <w:rFonts w:ascii="Times New Roman" w:hAnsi="Times New Roman" w:eastAsia="Times New Roman" w:cs="Times New Roman"/>
                <w:sz w:val="20"/>
                <w:szCs w:val="20"/>
              </w:rPr>
            </w:pPr>
            <w:r>
              <w:rPr>
                <w:rFonts w:eastAsia="Times New Roman" w:cs="Times New Roman" w:ascii="Times New Roman" w:hAnsi="Times New Roman"/>
                <w:sz w:val="20"/>
                <w:szCs w:val="20"/>
              </w:rPr>
              <w:t>00-0717</w:t>
            </w:r>
          </w:p>
        </w:tc>
        <w:tc>
          <w:tcPr>
            <w:tcW w:w="315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Canadian Niagara Power Co</w:t>
            </w:r>
          </w:p>
        </w:tc>
      </w:tr>
      <w:tr>
        <w:trPr/>
        <w:tc>
          <w:tcPr>
            <w:tcW w:w="342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Virginia Electric and Power</w:t>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540"/>
              </w:tabs>
              <w:ind w:start="252" w:end="0"/>
              <w:rPr>
                <w:rFonts w:ascii="Times New Roman" w:hAnsi="Times New Roman" w:eastAsia="Times New Roman" w:cs="Times New Roman"/>
                <w:sz w:val="20"/>
                <w:szCs w:val="20"/>
              </w:rPr>
            </w:pPr>
            <w:r>
              <w:rPr>
                <w:rFonts w:eastAsia="Times New Roman" w:cs="Times New Roman" w:ascii="Times New Roman" w:hAnsi="Times New Roman"/>
                <w:sz w:val="20"/>
                <w:szCs w:val="20"/>
              </w:rPr>
              <w:t>00-0768</w:t>
            </w:r>
          </w:p>
        </w:tc>
        <w:tc>
          <w:tcPr>
            <w:tcW w:w="315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Old Mill Power</w:t>
            </w:r>
          </w:p>
        </w:tc>
      </w:tr>
      <w:tr>
        <w:trPr/>
        <w:tc>
          <w:tcPr>
            <w:tcW w:w="342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Wisconsin Electric Power</w:t>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540"/>
              </w:tabs>
              <w:ind w:start="252" w:end="0"/>
              <w:rPr>
                <w:rFonts w:ascii="Times New Roman" w:hAnsi="Times New Roman" w:eastAsia="Times New Roman" w:cs="Times New Roman"/>
                <w:sz w:val="20"/>
                <w:szCs w:val="20"/>
              </w:rPr>
            </w:pPr>
            <w:r>
              <w:rPr>
                <w:rFonts w:eastAsia="Times New Roman" w:cs="Times New Roman" w:ascii="Times New Roman" w:hAnsi="Times New Roman"/>
                <w:sz w:val="20"/>
                <w:szCs w:val="20"/>
              </w:rPr>
              <w:t>00-0707</w:t>
            </w:r>
          </w:p>
        </w:tc>
        <w:tc>
          <w:tcPr>
            <w:tcW w:w="315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0"/>
                <w:szCs w:val="20"/>
              </w:rPr>
            </w:pPr>
            <w:r>
              <w:rPr>
                <w:rFonts w:eastAsia="Times New Roman" w:cs="Times New Roman" w:ascii="Times New Roman" w:hAnsi="Times New Roman"/>
                <w:sz w:val="20"/>
                <w:szCs w:val="20"/>
              </w:rPr>
              <w:t>Dynegy Power Marketing</w:t>
            </w:r>
          </w:p>
        </w:tc>
      </w:tr>
    </w:tbl>
    <w:p>
      <w:pPr>
        <w:pStyle w:val="Normal"/>
        <w:rPr/>
      </w:pPr>
      <w:r>
        <w:rPr/>
      </w:r>
    </w:p>
    <w:p>
      <w:pPr>
        <w:pStyle w:val="Normal"/>
        <w:numPr>
          <w:ilvl w:val="0"/>
          <w:numId w:val="4"/>
        </w:numPr>
        <w:tabs>
          <w:tab w:val="clear" w:pos="540"/>
          <w:tab w:val="left" w:pos="0" w:leader="none"/>
        </w:tabs>
        <w:ind w:hanging="720" w:start="720" w:end="0"/>
        <w:rPr/>
      </w:pPr>
      <w:r>
        <w:rPr>
          <w:rFonts w:eastAsia="Times New Roman" w:cs="Times New Roman" w:ascii="Times New Roman" w:hAnsi="Times New Roman"/>
          <w:b/>
          <w:bCs/>
          <w:sz w:val="22"/>
          <w:szCs w:val="22"/>
        </w:rPr>
        <w:t xml:space="preserve">Tiverton Power Associates, ER00-1171. </w:t>
      </w:r>
      <w:r>
        <w:rPr>
          <w:rFonts w:eastAsia="Times New Roman" w:cs="Times New Roman" w:ascii="Times New Roman" w:hAnsi="Times New Roman"/>
          <w:i/>
          <w:iCs/>
          <w:sz w:val="22"/>
          <w:szCs w:val="22"/>
        </w:rPr>
        <w:t xml:space="preserve"> Rate Schedule.  </w:t>
      </w:r>
      <w:r>
        <w:rPr>
          <w:rFonts w:eastAsia="Times New Roman" w:cs="Times New Roman" w:ascii="Times New Roman" w:hAnsi="Times New Roman"/>
          <w:sz w:val="22"/>
          <w:szCs w:val="22"/>
        </w:rPr>
        <w:t xml:space="preserve">On January 19, Tiverton Power filed a rate schedule under which Tiverton will sell energy, capacity and ancillary services at market-based rates and will reassign transmission capacity.  Protests were due on February 9.  The filing was noticed on January 27.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4"/>
        </w:numPr>
        <w:tabs>
          <w:tab w:val="clear" w:pos="540"/>
          <w:tab w:val="left" w:pos="0" w:leader="none"/>
        </w:tabs>
        <w:ind w:hanging="720" w:start="720" w:end="0"/>
        <w:rPr/>
      </w:pPr>
      <w:r>
        <w:rPr>
          <w:rFonts w:eastAsia="Times New Roman" w:cs="Times New Roman" w:ascii="Times New Roman" w:hAnsi="Times New Roman"/>
          <w:b/>
          <w:bCs/>
          <w:sz w:val="22"/>
          <w:szCs w:val="22"/>
        </w:rPr>
        <w:t xml:space="preserve">Southwestern Public Service Company, ER00-1168.  </w:t>
      </w:r>
      <w:r>
        <w:rPr>
          <w:rFonts w:eastAsia="Times New Roman" w:cs="Times New Roman" w:ascii="Times New Roman" w:hAnsi="Times New Roman"/>
          <w:i/>
          <w:iCs/>
          <w:sz w:val="22"/>
          <w:szCs w:val="22"/>
        </w:rPr>
        <w:t>Rate Reduction.</w:t>
      </w:r>
      <w:r>
        <w:rPr>
          <w:rFonts w:eastAsia="Times New Roman" w:cs="Times New Roman" w:ascii="Times New Roman" w:hAnsi="Times New Roman"/>
          <w:sz w:val="22"/>
          <w:szCs w:val="22"/>
        </w:rPr>
        <w:t xml:space="preserve">  On January 19, New Century Services filed on behalf of Southwestern Public Service a filing of rate reduction for full requirements service to Caprock Electric Cooperative, Central Valley Electric Cooperative, Farmers Electric Cooperative, Lea Country Electric Cooperative, Lyntegar Electric Cooperative and Roosevelt Electric Cooperative.  New Century also filed a service agreement for network transmission service with SPS wholesale merchant function and SPS transmission function.  Protests were due on February 9.  The filing was noticed on January 27.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4"/>
        </w:numPr>
        <w:tabs>
          <w:tab w:val="clear" w:pos="540"/>
          <w:tab w:val="left" w:pos="0" w:leader="none"/>
        </w:tabs>
        <w:ind w:hanging="720" w:start="720" w:end="0"/>
        <w:rPr/>
      </w:pPr>
      <w:r>
        <w:rPr>
          <w:rFonts w:eastAsia="Times New Roman" w:cs="Times New Roman" w:ascii="Times New Roman" w:hAnsi="Times New Roman"/>
          <w:b/>
          <w:bCs/>
          <w:sz w:val="22"/>
          <w:szCs w:val="22"/>
        </w:rPr>
        <w:t xml:space="preserve">Enron Energy Services, ER00-1167.  </w:t>
      </w:r>
      <w:r>
        <w:rPr>
          <w:rFonts w:eastAsia="Times New Roman" w:cs="Times New Roman" w:ascii="Times New Roman" w:hAnsi="Times New Roman"/>
          <w:i/>
          <w:iCs/>
          <w:sz w:val="22"/>
          <w:szCs w:val="22"/>
        </w:rPr>
        <w:t xml:space="preserve">Firm Transmission Rights.  </w:t>
      </w:r>
      <w:r>
        <w:rPr>
          <w:rFonts w:eastAsia="Times New Roman" w:cs="Times New Roman" w:ascii="Times New Roman" w:hAnsi="Times New Roman"/>
          <w:sz w:val="22"/>
          <w:szCs w:val="22"/>
        </w:rPr>
        <w:t xml:space="preserve">On January 19, Enron Energy Services filed a rate schedule for the sale, assignment or transfer of firm transmission rights in California according to the FERC's order in California ISO, 89 FERC 61,153 (1999).  Protests were due on February 9.  The filing was noticed on January 27.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4"/>
        </w:numPr>
        <w:tabs>
          <w:tab w:val="clear" w:pos="540"/>
          <w:tab w:val="left" w:pos="0" w:leader="none"/>
        </w:tabs>
        <w:ind w:hanging="720" w:start="720" w:end="0"/>
        <w:rPr/>
      </w:pPr>
      <w:r>
        <w:rPr>
          <w:rFonts w:eastAsia="Times New Roman" w:cs="Times New Roman" w:ascii="Times New Roman" w:hAnsi="Times New Roman"/>
          <w:b/>
          <w:bCs/>
          <w:sz w:val="22"/>
          <w:szCs w:val="22"/>
        </w:rPr>
        <w:t xml:space="preserve">Duke Energy, ER00-1157/1158/1159/1160.  </w:t>
      </w:r>
      <w:r>
        <w:rPr>
          <w:rFonts w:eastAsia="Times New Roman" w:cs="Times New Roman" w:ascii="Times New Roman" w:hAnsi="Times New Roman"/>
          <w:i/>
          <w:iCs/>
          <w:sz w:val="22"/>
          <w:szCs w:val="22"/>
        </w:rPr>
        <w:t xml:space="preserve">Firm Transmission Service Agreements.  </w:t>
      </w:r>
      <w:r>
        <w:rPr>
          <w:rFonts w:eastAsia="Times New Roman" w:cs="Times New Roman" w:ascii="Times New Roman" w:hAnsi="Times New Roman"/>
          <w:sz w:val="22"/>
          <w:szCs w:val="22"/>
        </w:rPr>
        <w:t xml:space="preserve">On January 19, Duke filed service agreements for firm transmission service with PECO Energy (1160), Tenaska Power Service (1159); Consumers Energy (1158) and Consumers Energy (1157).  Protests were due on February 8.  The filings were noticed on January 27.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4"/>
        </w:numPr>
        <w:tabs>
          <w:tab w:val="clear" w:pos="540"/>
          <w:tab w:val="left" w:pos="0" w:leader="none"/>
        </w:tabs>
        <w:ind w:hanging="720" w:start="720" w:end="0"/>
        <w:rPr/>
      </w:pPr>
      <w:r>
        <w:rPr>
          <w:rFonts w:eastAsia="Times New Roman" w:cs="Times New Roman" w:ascii="Times New Roman" w:hAnsi="Times New Roman"/>
          <w:b/>
          <w:bCs/>
          <w:sz w:val="22"/>
          <w:szCs w:val="22"/>
        </w:rPr>
        <w:t xml:space="preserve">Ogden Martin Systems of Union, ER00-1155.  </w:t>
      </w:r>
      <w:r>
        <w:rPr>
          <w:rFonts w:eastAsia="Times New Roman" w:cs="Times New Roman" w:ascii="Times New Roman" w:hAnsi="Times New Roman"/>
          <w:i/>
          <w:iCs/>
          <w:sz w:val="22"/>
          <w:szCs w:val="22"/>
        </w:rPr>
        <w:t xml:space="preserve">Power Sales Agreement.  </w:t>
      </w:r>
      <w:r>
        <w:rPr>
          <w:rFonts w:eastAsia="Times New Roman" w:cs="Times New Roman" w:ascii="Times New Roman" w:hAnsi="Times New Roman"/>
          <w:sz w:val="22"/>
          <w:szCs w:val="22"/>
        </w:rPr>
        <w:t xml:space="preserve">On January 19, Ogden Martin filed a power sales agreement with Sempra Energy Trading corp. and Ogden Union under its market-based rates.  Protests were due on February 8.  The filing was noticed on January 27.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4"/>
        </w:numPr>
        <w:tabs>
          <w:tab w:val="clear" w:pos="540"/>
          <w:tab w:val="left" w:pos="0" w:leader="none"/>
        </w:tabs>
        <w:ind w:hanging="720" w:start="720" w:end="0"/>
        <w:rPr/>
      </w:pPr>
      <w:r>
        <w:rPr>
          <w:rFonts w:eastAsia="Times New Roman" w:cs="Times New Roman" w:ascii="Times New Roman" w:hAnsi="Times New Roman"/>
          <w:b/>
          <w:bCs/>
          <w:sz w:val="22"/>
          <w:szCs w:val="22"/>
        </w:rPr>
        <w:t xml:space="preserve">Central Illinois Light, ER00-1152.  </w:t>
      </w:r>
      <w:r>
        <w:rPr>
          <w:rFonts w:eastAsia="Times New Roman" w:cs="Times New Roman" w:ascii="Times New Roman" w:hAnsi="Times New Roman"/>
          <w:i/>
          <w:iCs/>
          <w:sz w:val="22"/>
          <w:szCs w:val="22"/>
        </w:rPr>
        <w:t xml:space="preserve">Index of Customers.  </w:t>
      </w:r>
      <w:r>
        <w:rPr>
          <w:rFonts w:eastAsia="Times New Roman" w:cs="Times New Roman" w:ascii="Times New Roman" w:hAnsi="Times New Roman"/>
          <w:sz w:val="22"/>
          <w:szCs w:val="22"/>
        </w:rPr>
        <w:t xml:space="preserve">On January 19, Central Illinois Light filed a substitute index of point-to-point transmission service customers under its OATT and service agreements for one new customer, Powerex British Columbia Power Exchange Corp.  Protests were due on February 8.  The filing was noticed on January 27.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4"/>
        </w:numPr>
        <w:tabs>
          <w:tab w:val="clear" w:pos="540"/>
          <w:tab w:val="left" w:pos="0" w:leader="none"/>
        </w:tabs>
        <w:ind w:hanging="720" w:start="720" w:end="0"/>
        <w:rPr/>
      </w:pPr>
      <w:r>
        <w:rPr>
          <w:rFonts w:eastAsia="Times New Roman" w:cs="Times New Roman" w:ascii="Times New Roman" w:hAnsi="Times New Roman"/>
          <w:b/>
          <w:bCs/>
          <w:sz w:val="22"/>
          <w:szCs w:val="22"/>
        </w:rPr>
        <w:t xml:space="preserve">Virginia Electric and Power, ER00-1151.  </w:t>
      </w:r>
      <w:r>
        <w:rPr>
          <w:rFonts w:eastAsia="Times New Roman" w:cs="Times New Roman" w:ascii="Times New Roman" w:hAnsi="Times New Roman"/>
          <w:i/>
          <w:iCs/>
          <w:sz w:val="22"/>
          <w:szCs w:val="22"/>
        </w:rPr>
        <w:t xml:space="preserve">Letter of Termination.  </w:t>
      </w:r>
      <w:r>
        <w:rPr>
          <w:rFonts w:eastAsia="Times New Roman" w:cs="Times New Roman" w:ascii="Times New Roman" w:hAnsi="Times New Roman"/>
          <w:sz w:val="22"/>
          <w:szCs w:val="22"/>
        </w:rPr>
        <w:t xml:space="preserve">On January 19, Virginia Electric filed a letter of termination of the service agreement with Southern Company Energy Marketing dated January 1, 1997 and approved in Docket No. ER97-2834 on June 11, 1997.  Protests were due on February 8.  The filing was noticed on January 27.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4"/>
        </w:numPr>
        <w:tabs>
          <w:tab w:val="clear" w:pos="540"/>
          <w:tab w:val="left" w:pos="0" w:leader="none"/>
        </w:tabs>
        <w:ind w:hanging="720" w:start="720" w:end="0"/>
        <w:rPr/>
      </w:pPr>
      <w:r>
        <w:rPr>
          <w:rFonts w:eastAsia="Times New Roman" w:cs="Times New Roman" w:ascii="Times New Roman" w:hAnsi="Times New Roman"/>
          <w:b/>
          <w:bCs/>
          <w:sz w:val="22"/>
          <w:szCs w:val="22"/>
        </w:rPr>
        <w:t xml:space="preserve">Northern Indiana Public Service, ER00-1143.  </w:t>
      </w:r>
      <w:r>
        <w:rPr>
          <w:rFonts w:eastAsia="Times New Roman" w:cs="Times New Roman" w:ascii="Times New Roman" w:hAnsi="Times New Roman"/>
          <w:i/>
          <w:iCs/>
          <w:sz w:val="22"/>
          <w:szCs w:val="22"/>
        </w:rPr>
        <w:t xml:space="preserve">Service Agreement.  </w:t>
      </w:r>
      <w:r>
        <w:rPr>
          <w:rFonts w:eastAsia="Times New Roman" w:cs="Times New Roman" w:ascii="Times New Roman" w:hAnsi="Times New Roman"/>
          <w:sz w:val="22"/>
          <w:szCs w:val="22"/>
        </w:rPr>
        <w:t xml:space="preserve">On January 19, Northern Indiana filed a service agreement with Northern States Power Company.  Protests were due on February 9.  The filing was noticed on January 27.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4"/>
        </w:numPr>
        <w:tabs>
          <w:tab w:val="clear" w:pos="540"/>
          <w:tab w:val="left" w:pos="0" w:leader="none"/>
        </w:tabs>
        <w:ind w:hanging="720" w:start="720" w:end="0"/>
        <w:rPr/>
      </w:pPr>
      <w:r>
        <w:rPr>
          <w:rFonts w:eastAsia="Times New Roman" w:cs="Times New Roman" w:ascii="Times New Roman" w:hAnsi="Times New Roman"/>
          <w:b/>
          <w:bCs/>
          <w:sz w:val="22"/>
          <w:szCs w:val="22"/>
        </w:rPr>
        <w:t>Louisville Gas and Electric and Kentucky Utilities, ER00-957.</w:t>
      </w:r>
      <w:r>
        <w:rPr>
          <w:rFonts w:eastAsia="Times New Roman" w:cs="Times New Roman" w:ascii="Times New Roman" w:hAnsi="Times New Roman"/>
          <w:i/>
          <w:iCs/>
          <w:sz w:val="22"/>
          <w:szCs w:val="22"/>
        </w:rPr>
        <w:t xml:space="preserve">  Amendment to Network Integration Transmission Service Agreement.  </w:t>
      </w:r>
      <w:r>
        <w:rPr>
          <w:rFonts w:eastAsia="Times New Roman" w:cs="Times New Roman" w:ascii="Times New Roman" w:hAnsi="Times New Roman"/>
          <w:sz w:val="22"/>
          <w:szCs w:val="22"/>
        </w:rPr>
        <w:t xml:space="preserve">On January 19, Louisville Gas filed an amendment to the executed service agreement for network integration transmission service with East Kentucky Power Cooperative under its OATT.  Protests were due on February 9.  The filing was noticed on January 27.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4"/>
        </w:numPr>
        <w:tabs>
          <w:tab w:val="clear" w:pos="540"/>
          <w:tab w:val="left" w:pos="0" w:leader="none"/>
        </w:tabs>
        <w:ind w:hanging="720" w:start="720" w:end="0"/>
        <w:rPr/>
      </w:pPr>
      <w:r>
        <w:rPr>
          <w:rFonts w:eastAsia="Times New Roman" w:cs="Times New Roman" w:ascii="Times New Roman" w:hAnsi="Times New Roman"/>
          <w:b/>
          <w:bCs/>
          <w:sz w:val="22"/>
          <w:szCs w:val="22"/>
        </w:rPr>
        <w:t xml:space="preserve">AmerGen Energy, ER00-1177.  </w:t>
      </w:r>
      <w:r>
        <w:rPr>
          <w:rFonts w:eastAsia="Times New Roman" w:cs="Times New Roman" w:ascii="Times New Roman" w:hAnsi="Times New Roman"/>
          <w:i/>
          <w:iCs/>
          <w:sz w:val="22"/>
          <w:szCs w:val="22"/>
        </w:rPr>
        <w:t xml:space="preserve">Reactive Power Compensation Agreement.  </w:t>
      </w:r>
      <w:r>
        <w:rPr>
          <w:rFonts w:eastAsia="Times New Roman" w:cs="Times New Roman" w:ascii="Times New Roman" w:hAnsi="Times New Roman"/>
          <w:sz w:val="22"/>
          <w:szCs w:val="22"/>
        </w:rPr>
        <w:t xml:space="preserve">On January 20, AmerGen Energy filed a reactive power compensation agreement with GPU Energy under its tariff.  Protests were due on February 9.  The filing was noticed on January 27.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4"/>
        </w:numPr>
        <w:tabs>
          <w:tab w:val="clear" w:pos="540"/>
          <w:tab w:val="left" w:pos="0" w:leader="none"/>
        </w:tabs>
        <w:ind w:hanging="720" w:start="720" w:end="0"/>
        <w:rPr/>
      </w:pPr>
      <w:r>
        <w:rPr>
          <w:rFonts w:eastAsia="Times New Roman" w:cs="Times New Roman" w:ascii="Times New Roman" w:hAnsi="Times New Roman"/>
          <w:b/>
          <w:bCs/>
          <w:sz w:val="22"/>
          <w:szCs w:val="22"/>
        </w:rPr>
        <w:t xml:space="preserve">Williams Energy Marketing, ER00-1172.  </w:t>
      </w:r>
      <w:r>
        <w:rPr>
          <w:rFonts w:eastAsia="Times New Roman" w:cs="Times New Roman" w:ascii="Times New Roman" w:hAnsi="Times New Roman"/>
          <w:i/>
          <w:iCs/>
          <w:sz w:val="22"/>
          <w:szCs w:val="22"/>
        </w:rPr>
        <w:t xml:space="preserve">Revisions to Must-Run Service Agreements.  </w:t>
      </w:r>
      <w:r>
        <w:rPr>
          <w:rFonts w:eastAsia="Times New Roman" w:cs="Times New Roman" w:ascii="Times New Roman" w:hAnsi="Times New Roman"/>
          <w:sz w:val="22"/>
          <w:szCs w:val="22"/>
        </w:rPr>
        <w:t xml:space="preserve">On January 19, Williams filed revised pages to the Reliability Must-Run Service Agreements with the California ISO for certain RMR units located at the Alamitos, Huntington Beach and Redondo Beach Generating Stations.  The purpose of the filing is to update Williams' existing RMR agreements to reflect an extension of the existing agreements for a reduced number of RMR units for 2000, certain annual updates to schedules of the RMR agreements and changes to the personnel to receive notice.  Protests were due on February 9.  The filing was noticed on January 27.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4"/>
        </w:numPr>
        <w:tabs>
          <w:tab w:val="clear" w:pos="540"/>
          <w:tab w:val="left" w:pos="0" w:leader="none"/>
        </w:tabs>
        <w:ind w:hanging="720" w:start="720" w:end="0"/>
        <w:rPr/>
      </w:pPr>
      <w:r>
        <w:rPr>
          <w:rFonts w:eastAsia="Times New Roman" w:cs="Times New Roman" w:ascii="Times New Roman" w:hAnsi="Times New Roman"/>
          <w:b/>
          <w:bCs/>
          <w:sz w:val="22"/>
          <w:szCs w:val="22"/>
        </w:rPr>
        <w:t>Central Vermont Public Service, ER00-335.</w:t>
      </w:r>
      <w:r>
        <w:rPr>
          <w:rFonts w:eastAsia="Times New Roman" w:cs="Times New Roman" w:ascii="Times New Roman" w:hAnsi="Times New Roman"/>
          <w:i/>
          <w:iCs/>
          <w:sz w:val="22"/>
          <w:szCs w:val="22"/>
        </w:rPr>
        <w:t xml:space="preserve">  Order on Revisions to Formula Rates.  </w:t>
      </w:r>
      <w:r>
        <w:rPr>
          <w:rFonts w:eastAsia="Times New Roman" w:cs="Times New Roman" w:ascii="Times New Roman" w:hAnsi="Times New Roman"/>
          <w:sz w:val="22"/>
          <w:szCs w:val="22"/>
        </w:rPr>
        <w:t xml:space="preserve">On October 29, 1999, Central Vermont submitted revisions to its formula rate for transmission service under its OATT.  FERC accepted the filing.  FERC dismissed Vermont Public Power Supply Authority's protest claiming that Central Vermont's proposal violates Rate Schedule No. 246 requiring Central Vermont to get the written consent of its customers prior to including the cost of new facilities in its tariff rates.  FERC finds nothing to support Vermont Public Power Supply's interpretation.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4"/>
        </w:numPr>
        <w:tabs>
          <w:tab w:val="clear" w:pos="540"/>
          <w:tab w:val="left" w:pos="0" w:leader="none"/>
        </w:tabs>
        <w:ind w:hanging="720" w:start="720" w:end="0"/>
        <w:rPr/>
      </w:pPr>
      <w:r>
        <w:rPr>
          <w:rFonts w:eastAsia="Times New Roman" w:cs="Times New Roman" w:ascii="Times New Roman" w:hAnsi="Times New Roman"/>
          <w:b/>
          <w:bCs/>
          <w:sz w:val="22"/>
          <w:szCs w:val="22"/>
        </w:rPr>
        <w:t xml:space="preserve">Pacific Gas and Electric, ER00-657.  </w:t>
      </w:r>
      <w:r>
        <w:rPr>
          <w:rFonts w:eastAsia="Times New Roman" w:cs="Times New Roman" w:ascii="Times New Roman" w:hAnsi="Times New Roman"/>
          <w:i/>
          <w:iCs/>
          <w:sz w:val="22"/>
          <w:szCs w:val="22"/>
        </w:rPr>
        <w:t xml:space="preserve">Order on Interconnection Agreements.  </w:t>
      </w:r>
      <w:r>
        <w:rPr>
          <w:rFonts w:eastAsia="Times New Roman" w:cs="Times New Roman" w:ascii="Times New Roman" w:hAnsi="Times New Roman"/>
          <w:sz w:val="22"/>
          <w:szCs w:val="22"/>
        </w:rPr>
        <w:t xml:space="preserve">On November 23 and December 3, Pacific Gas submitted interconnection agreements with East Bay Municipal Utilities.  A limited protest was filed by the PUC of California requesting clarification that approval of this filing is without prejudice to the proper allocation of generation tie line costs currently being litigated in transmission owner rate cases.  FERC clarifies that action in this docket will not prejudice issued in the other PG&amp;E rate cases.  This order stipulates that PG&amp;E must file any increase in fixed charge rates with the appropriate cost support.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4"/>
        </w:numPr>
        <w:tabs>
          <w:tab w:val="clear" w:pos="540"/>
          <w:tab w:val="left" w:pos="0" w:leader="none"/>
        </w:tabs>
        <w:ind w:hanging="720" w:start="720" w:end="0"/>
        <w:rPr/>
      </w:pPr>
      <w:r>
        <w:rPr>
          <w:rFonts w:eastAsia="Times New Roman" w:cs="Times New Roman" w:ascii="Times New Roman" w:hAnsi="Times New Roman"/>
          <w:b/>
          <w:bCs/>
          <w:sz w:val="22"/>
          <w:szCs w:val="22"/>
        </w:rPr>
        <w:t>Southaven Power, ER00-710, Canal Emirates Power International, ER00-741 and Martins Creek, Montour, Brunner Island, Holtwood and Susquehanna, ER00-744.</w:t>
      </w:r>
      <w:r>
        <w:rPr>
          <w:rFonts w:eastAsia="Times New Roman" w:cs="Times New Roman" w:ascii="Times New Roman" w:hAnsi="Times New Roman"/>
          <w:i/>
          <w:iCs/>
          <w:sz w:val="22"/>
          <w:szCs w:val="22"/>
        </w:rPr>
        <w:t xml:space="preserve">  Order on Schedules for Market Based Rates.  </w:t>
      </w:r>
      <w:r>
        <w:rPr>
          <w:rFonts w:eastAsia="Times New Roman" w:cs="Times New Roman" w:ascii="Times New Roman" w:hAnsi="Times New Roman"/>
          <w:sz w:val="22"/>
          <w:szCs w:val="22"/>
        </w:rPr>
        <w:t xml:space="preserve">FERC has accepted the rate schedules as submitted, with modifications in an order issued January 27.  The applicants requested authority to engage in sales of ancillary services at market based rates into the PJM Power Exchange, the New England Power Pool and the markets administered by the California and New York ISOs.  Canal is required to file revised rate schedule to limit its authority to sell ancillary services to sales into markets administered by the NY ISO.  Codes of Conduct are accepted.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4"/>
        </w:numPr>
        <w:tabs>
          <w:tab w:val="clear" w:pos="540"/>
          <w:tab w:val="left" w:pos="0" w:leader="none"/>
        </w:tabs>
        <w:ind w:hanging="720" w:start="720" w:end="0"/>
        <w:rPr/>
      </w:pPr>
      <w:r>
        <w:rPr>
          <w:rFonts w:eastAsia="Times New Roman" w:cs="Times New Roman" w:ascii="Times New Roman" w:hAnsi="Times New Roman"/>
          <w:b/>
          <w:bCs/>
          <w:sz w:val="22"/>
          <w:szCs w:val="22"/>
        </w:rPr>
        <w:t xml:space="preserve">Puget Sound Energy, ER00-1182.  </w:t>
      </w:r>
      <w:r>
        <w:rPr>
          <w:rFonts w:eastAsia="Times New Roman" w:cs="Times New Roman" w:ascii="Times New Roman" w:hAnsi="Times New Roman"/>
          <w:i/>
          <w:iCs/>
          <w:sz w:val="22"/>
          <w:szCs w:val="22"/>
        </w:rPr>
        <w:t xml:space="preserve">Firm and Non-Firm Point-to-Point Transmission Service Agreements.  </w:t>
      </w:r>
      <w:r>
        <w:rPr>
          <w:rFonts w:eastAsia="Times New Roman" w:cs="Times New Roman" w:ascii="Times New Roman" w:hAnsi="Times New Roman"/>
          <w:sz w:val="22"/>
          <w:szCs w:val="22"/>
        </w:rPr>
        <w:t xml:space="preserve">On January 20, Puget Sound filed service agreements for firm and non-firm point-to-point transmission service with PP&amp;L Montana.  Protests were due on February 9.  The filing was noticed on January 27.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4"/>
        </w:numPr>
        <w:tabs>
          <w:tab w:val="clear" w:pos="540"/>
          <w:tab w:val="left" w:pos="0" w:leader="none"/>
        </w:tabs>
        <w:ind w:hanging="360" w:start="720" w:end="0"/>
        <w:rPr/>
      </w:pPr>
      <w:r>
        <w:rPr>
          <w:rFonts w:eastAsia="Times New Roman" w:cs="Times New Roman" w:ascii="Times New Roman" w:hAnsi="Times New Roman"/>
          <w:b/>
          <w:bCs/>
          <w:sz w:val="22"/>
          <w:szCs w:val="22"/>
        </w:rPr>
        <w:t xml:space="preserve">Mountain West Independent System, ER99-3719 and Sierra Pacific Power Company and Nevada Power Company, EC99-100.  </w:t>
      </w:r>
      <w:r>
        <w:rPr>
          <w:rFonts w:eastAsia="Times New Roman" w:cs="Times New Roman" w:ascii="Times New Roman" w:hAnsi="Times New Roman"/>
          <w:i/>
          <w:iCs/>
          <w:sz w:val="22"/>
          <w:szCs w:val="22"/>
        </w:rPr>
        <w:t xml:space="preserve">Order Accepting Independent System Administrator and  Approving Transfer of Control.  </w:t>
      </w:r>
      <w:r>
        <w:rPr>
          <w:rFonts w:eastAsia="Times New Roman" w:cs="Times New Roman" w:ascii="Times New Roman" w:hAnsi="Times New Roman"/>
          <w:sz w:val="22"/>
          <w:szCs w:val="22"/>
        </w:rPr>
        <w:t xml:space="preserve">In an order issued January 27, FERC accepts Mountain West's proposed independent system administrator (ISA) and conditionally approved the transfer of control of the transmission facilities to Mountain West as one step in the 4-step process of Nevada's restructuring its electric utility industry.  Mountain West intends to bridge the gap between the commencement of retail access in Nevada and the formation of a regional organization.  FERC has reviewed this application under section 203 of the FPA, not under ISO or RTO criteria - there is still an obligation to meet the requirements of Order No. 2000 by October 15, 2000.  The significant points included in the order follows:  </w:t>
      </w:r>
    </w:p>
    <w:p>
      <w:pPr>
        <w:pStyle w:val="Normal"/>
        <w:tabs>
          <w:tab w:val="clear" w:pos="540"/>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numPr>
          <w:ilvl w:val="0"/>
          <w:numId w:val="5"/>
        </w:numPr>
        <w:tabs>
          <w:tab w:val="clear" w:pos="540"/>
          <w:tab w:val="left" w:pos="0" w:leader="none"/>
          <w:tab w:val="left" w:pos="720" w:leader="none"/>
        </w:tabs>
        <w:ind w:hanging="720" w:start="1440" w:end="0"/>
        <w:rPr>
          <w:rFonts w:ascii="Times New Roman" w:hAnsi="Times New Roman" w:eastAsia="Times New Roman" w:cs="Times New Roman"/>
          <w:sz w:val="22"/>
          <w:szCs w:val="22"/>
        </w:rPr>
      </w:pPr>
      <w:r>
        <w:rPr>
          <w:rFonts w:eastAsia="Times New Roman" w:cs="Times New Roman" w:ascii="Times New Roman" w:hAnsi="Times New Roman"/>
          <w:sz w:val="22"/>
          <w:szCs w:val="22"/>
        </w:rPr>
        <w:t>Mountain West will administer its ISA</w:t>
      </w:r>
    </w:p>
    <w:p>
      <w:pPr>
        <w:pStyle w:val="Normal"/>
        <w:numPr>
          <w:ilvl w:val="0"/>
          <w:numId w:val="5"/>
        </w:numPr>
        <w:tabs>
          <w:tab w:val="clear" w:pos="540"/>
          <w:tab w:val="left" w:pos="0" w:leader="none"/>
          <w:tab w:val="left" w:pos="720" w:leader="none"/>
        </w:tabs>
        <w:ind w:hanging="720" w:start="1440" w:end="0"/>
        <w:rPr>
          <w:rFonts w:ascii="Times New Roman" w:hAnsi="Times New Roman" w:eastAsia="Times New Roman" w:cs="Times New Roman"/>
          <w:sz w:val="22"/>
          <w:szCs w:val="22"/>
        </w:rPr>
      </w:pPr>
      <w:r>
        <w:rPr>
          <w:rFonts w:eastAsia="Times New Roman" w:cs="Times New Roman" w:ascii="Times New Roman" w:hAnsi="Times New Roman"/>
          <w:sz w:val="22"/>
          <w:szCs w:val="22"/>
        </w:rPr>
        <w:t>will coordinate service over applicants' systems</w:t>
      </w:r>
    </w:p>
    <w:p>
      <w:pPr>
        <w:pStyle w:val="Normal"/>
        <w:numPr>
          <w:ilvl w:val="0"/>
          <w:numId w:val="5"/>
        </w:numPr>
        <w:tabs>
          <w:tab w:val="clear" w:pos="540"/>
          <w:tab w:val="left" w:pos="0" w:leader="none"/>
          <w:tab w:val="left" w:pos="720" w:leader="none"/>
        </w:tabs>
        <w:ind w:hanging="720" w:start="1440" w:end="0"/>
        <w:rPr/>
      </w:pPr>
      <w:r>
        <w:rPr>
          <w:rFonts w:eastAsia="Times New Roman" w:cs="Times New Roman" w:ascii="Times New Roman" w:hAnsi="Times New Roman"/>
          <w:sz w:val="22"/>
          <w:szCs w:val="22"/>
        </w:rPr>
        <w:t xml:space="preserve">will </w:t>
      </w:r>
      <w:r>
        <w:rPr>
          <w:rFonts w:eastAsia="Times New Roman" w:cs="Times New Roman" w:ascii="Times New Roman" w:hAnsi="Times New Roman"/>
          <w:sz w:val="22"/>
          <w:szCs w:val="22"/>
          <w:u w:val="single"/>
        </w:rPr>
        <w:t>not</w:t>
      </w:r>
      <w:r>
        <w:rPr>
          <w:rFonts w:eastAsia="Times New Roman" w:cs="Times New Roman" w:ascii="Times New Roman" w:hAnsi="Times New Roman"/>
          <w:sz w:val="22"/>
          <w:szCs w:val="22"/>
        </w:rPr>
        <w:t xml:space="preserve"> own transmission facilities</w:t>
      </w:r>
    </w:p>
    <w:p>
      <w:pPr>
        <w:pStyle w:val="Normal"/>
        <w:numPr>
          <w:ilvl w:val="0"/>
          <w:numId w:val="5"/>
        </w:numPr>
        <w:tabs>
          <w:tab w:val="clear" w:pos="540"/>
          <w:tab w:val="left" w:pos="0" w:leader="none"/>
          <w:tab w:val="left" w:pos="720" w:leader="none"/>
        </w:tabs>
        <w:ind w:hanging="720" w:start="1440" w:end="0"/>
        <w:rPr>
          <w:rFonts w:ascii="Times New Roman" w:hAnsi="Times New Roman" w:eastAsia="Times New Roman" w:cs="Times New Roman"/>
          <w:sz w:val="22"/>
          <w:szCs w:val="22"/>
        </w:rPr>
      </w:pPr>
      <w:r>
        <w:rPr>
          <w:rFonts w:eastAsia="Times New Roman" w:cs="Times New Roman" w:ascii="Times New Roman" w:hAnsi="Times New Roman"/>
          <w:sz w:val="22"/>
          <w:szCs w:val="22"/>
        </w:rPr>
        <w:t>membership in Mountain West will be voluntary</w:t>
      </w:r>
    </w:p>
    <w:p>
      <w:pPr>
        <w:pStyle w:val="Normal"/>
        <w:numPr>
          <w:ilvl w:val="0"/>
          <w:numId w:val="5"/>
        </w:numPr>
        <w:tabs>
          <w:tab w:val="clear" w:pos="540"/>
          <w:tab w:val="left" w:pos="0" w:leader="none"/>
          <w:tab w:val="left" w:pos="720" w:leader="none"/>
        </w:tabs>
        <w:ind w:hanging="720" w:start="1440" w:end="0"/>
        <w:rPr>
          <w:rFonts w:ascii="Times New Roman" w:hAnsi="Times New Roman" w:eastAsia="Times New Roman" w:cs="Times New Roman"/>
          <w:sz w:val="22"/>
          <w:szCs w:val="22"/>
        </w:rPr>
      </w:pPr>
      <w:r>
        <w:rPr>
          <w:rFonts w:eastAsia="Times New Roman" w:cs="Times New Roman" w:ascii="Times New Roman" w:hAnsi="Times New Roman"/>
          <w:sz w:val="22"/>
          <w:szCs w:val="22"/>
        </w:rPr>
        <w:t>the ISA will terminate upon ISA board approval (or three years hence)</w:t>
      </w:r>
    </w:p>
    <w:p>
      <w:pPr>
        <w:pStyle w:val="Normal"/>
        <w:numPr>
          <w:ilvl w:val="0"/>
          <w:numId w:val="5"/>
        </w:numPr>
        <w:tabs>
          <w:tab w:val="clear" w:pos="540"/>
          <w:tab w:val="left" w:pos="0" w:leader="none"/>
          <w:tab w:val="left" w:pos="720" w:leader="none"/>
        </w:tabs>
        <w:ind w:hanging="720" w:start="1440" w:end="0"/>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various service agreements required for participation under the ISA are accepted </w:t>
      </w:r>
    </w:p>
    <w:p>
      <w:pPr>
        <w:pStyle w:val="Normal"/>
        <w:numPr>
          <w:ilvl w:val="0"/>
          <w:numId w:val="5"/>
        </w:numPr>
        <w:tabs>
          <w:tab w:val="clear" w:pos="540"/>
          <w:tab w:val="left" w:pos="0" w:leader="none"/>
          <w:tab w:val="left" w:pos="720" w:leader="none"/>
        </w:tabs>
        <w:ind w:hanging="720" w:start="1440" w:end="0"/>
        <w:rPr>
          <w:rFonts w:ascii="Times New Roman" w:hAnsi="Times New Roman" w:eastAsia="Times New Roman" w:cs="Times New Roman"/>
          <w:sz w:val="22"/>
          <w:szCs w:val="22"/>
        </w:rPr>
      </w:pPr>
      <w:r>
        <w:rPr>
          <w:rFonts w:eastAsia="Times New Roman" w:cs="Times New Roman" w:ascii="Times New Roman" w:hAnsi="Times New Roman"/>
          <w:sz w:val="22"/>
          <w:szCs w:val="22"/>
        </w:rPr>
        <w:t>any congestion between control areas will be managed with three FTR derivatives: recallable transmission rights, non-converted transmission rights and non-firm transmission rights</w:t>
      </w:r>
    </w:p>
    <w:p>
      <w:pPr>
        <w:pStyle w:val="Normal"/>
        <w:numPr>
          <w:ilvl w:val="0"/>
          <w:numId w:val="5"/>
        </w:numPr>
        <w:tabs>
          <w:tab w:val="clear" w:pos="540"/>
          <w:tab w:val="left" w:pos="0" w:leader="none"/>
          <w:tab w:val="left" w:pos="720" w:leader="none"/>
        </w:tabs>
        <w:ind w:hanging="720" w:start="1440" w:end="0"/>
        <w:rPr>
          <w:rFonts w:ascii="Times New Roman" w:hAnsi="Times New Roman" w:eastAsia="Times New Roman" w:cs="Times New Roman"/>
          <w:sz w:val="22"/>
          <w:szCs w:val="22"/>
        </w:rPr>
      </w:pPr>
      <w:r>
        <w:rPr>
          <w:rFonts w:eastAsia="Times New Roman" w:cs="Times New Roman" w:ascii="Times New Roman" w:hAnsi="Times New Roman"/>
          <w:sz w:val="22"/>
          <w:szCs w:val="22"/>
        </w:rPr>
        <w:t>Mountain West will auction FTRs (similar to California's method for managing interzonal congestion) with quantities for auction determined by subtracting the amount of transmission capacity reserved under pre-existing transmission contracts from the operating transfer capability of the interface</w:t>
      </w:r>
    </w:p>
    <w:p>
      <w:pPr>
        <w:pStyle w:val="Normal"/>
        <w:numPr>
          <w:ilvl w:val="0"/>
          <w:numId w:val="5"/>
        </w:numPr>
        <w:tabs>
          <w:tab w:val="clear" w:pos="540"/>
          <w:tab w:val="left" w:pos="0" w:leader="none"/>
          <w:tab w:val="left" w:pos="720" w:leader="none"/>
        </w:tabs>
        <w:ind w:hanging="720" w:start="1440" w:end="0"/>
        <w:rPr>
          <w:rFonts w:ascii="Times New Roman" w:hAnsi="Times New Roman" w:eastAsia="Times New Roman" w:cs="Times New Roman"/>
          <w:sz w:val="22"/>
          <w:szCs w:val="22"/>
        </w:rPr>
      </w:pPr>
      <w:r>
        <w:rPr>
          <w:rFonts w:eastAsia="Times New Roman" w:cs="Times New Roman" w:ascii="Times New Roman" w:hAnsi="Times New Roman"/>
          <w:sz w:val="22"/>
          <w:szCs w:val="22"/>
        </w:rPr>
        <w:t>FERC directs the ISA to modify its proposal for sequential auctions to permit "cascading" (replacing a higher-priced ancillary service with a lower-priced ancillary service of similar or better quality)</w:t>
      </w:r>
    </w:p>
    <w:p>
      <w:pPr>
        <w:pStyle w:val="Normal"/>
        <w:numPr>
          <w:ilvl w:val="0"/>
          <w:numId w:val="5"/>
        </w:numPr>
        <w:tabs>
          <w:tab w:val="clear" w:pos="540"/>
          <w:tab w:val="left" w:pos="0" w:leader="none"/>
          <w:tab w:val="left" w:pos="720" w:leader="none"/>
        </w:tabs>
        <w:ind w:hanging="720" w:start="1440" w:end="0"/>
        <w:rPr>
          <w:rFonts w:ascii="Times New Roman" w:hAnsi="Times New Roman" w:eastAsia="Times New Roman" w:cs="Times New Roman"/>
          <w:sz w:val="22"/>
          <w:szCs w:val="22"/>
        </w:rPr>
      </w:pPr>
      <w:r>
        <w:rPr>
          <w:rFonts w:eastAsia="Times New Roman" w:cs="Times New Roman" w:ascii="Times New Roman" w:hAnsi="Times New Roman"/>
          <w:sz w:val="22"/>
          <w:szCs w:val="22"/>
        </w:rPr>
        <w:t>Applicants must develop crediting mechanism that allows recallable transmission rights (RTR) holders to be refunded any amounts paid for RTRs that are recalled</w:t>
      </w:r>
    </w:p>
    <w:p>
      <w:pPr>
        <w:pStyle w:val="Normal"/>
        <w:numPr>
          <w:ilvl w:val="0"/>
          <w:numId w:val="5"/>
        </w:numPr>
        <w:tabs>
          <w:tab w:val="clear" w:pos="540"/>
          <w:tab w:val="left" w:pos="0" w:leader="none"/>
          <w:tab w:val="left" w:pos="720" w:leader="none"/>
        </w:tabs>
        <w:ind w:hanging="720" w:start="1440" w:end="0"/>
        <w:rPr>
          <w:rFonts w:ascii="Times New Roman" w:hAnsi="Times New Roman" w:eastAsia="Times New Roman" w:cs="Times New Roman"/>
          <w:sz w:val="22"/>
          <w:szCs w:val="22"/>
        </w:rPr>
      </w:pPr>
      <w:r>
        <w:rPr>
          <w:rFonts w:eastAsia="Times New Roman" w:cs="Times New Roman" w:ascii="Times New Roman" w:hAnsi="Times New Roman"/>
          <w:sz w:val="22"/>
          <w:szCs w:val="22"/>
        </w:rPr>
        <w:t>Accepts ISA's proposal to develop a methodology to offer long-term FTRs</w:t>
      </w:r>
    </w:p>
    <w:p>
      <w:pPr>
        <w:pStyle w:val="Normal"/>
        <w:numPr>
          <w:ilvl w:val="0"/>
          <w:numId w:val="5"/>
        </w:numPr>
        <w:tabs>
          <w:tab w:val="clear" w:pos="540"/>
          <w:tab w:val="left" w:pos="0" w:leader="none"/>
          <w:tab w:val="left" w:pos="720" w:leader="none"/>
        </w:tabs>
        <w:ind w:hanging="720" w:start="1440" w:end="0"/>
        <w:rPr>
          <w:rFonts w:ascii="Times New Roman" w:hAnsi="Times New Roman" w:eastAsia="Times New Roman" w:cs="Times New Roman"/>
          <w:sz w:val="22"/>
          <w:szCs w:val="22"/>
        </w:rPr>
      </w:pPr>
      <w:r>
        <w:rPr>
          <w:rFonts w:eastAsia="Times New Roman" w:cs="Times New Roman" w:ascii="Times New Roman" w:hAnsi="Times New Roman"/>
          <w:sz w:val="22"/>
          <w:szCs w:val="22"/>
        </w:rPr>
        <w:t>FERC directs Mountain West to include procedures in its compliance filing for making public bid information with a six-month delay (consistent with previous FERC orders)</w:t>
      </w:r>
    </w:p>
    <w:p>
      <w:pPr>
        <w:pStyle w:val="Normal"/>
        <w:numPr>
          <w:ilvl w:val="0"/>
          <w:numId w:val="5"/>
        </w:numPr>
        <w:tabs>
          <w:tab w:val="clear" w:pos="540"/>
          <w:tab w:val="left" w:pos="0" w:leader="none"/>
          <w:tab w:val="left" w:pos="720" w:leader="none"/>
        </w:tabs>
        <w:ind w:hanging="720" w:start="1440" w:end="0"/>
        <w:rPr>
          <w:rFonts w:ascii="Times New Roman" w:hAnsi="Times New Roman" w:eastAsia="Times New Roman" w:cs="Times New Roman"/>
          <w:sz w:val="22"/>
          <w:szCs w:val="22"/>
        </w:rPr>
      </w:pPr>
      <w:r>
        <w:rPr>
          <w:rFonts w:eastAsia="Times New Roman" w:cs="Times New Roman" w:ascii="Times New Roman" w:hAnsi="Times New Roman"/>
          <w:sz w:val="22"/>
          <w:szCs w:val="22"/>
        </w:rPr>
        <w:t>FERC suggests applicants' request market based rates that will include a market power analysis and appropriate measures to mitigate any significant market power</w:t>
      </w:r>
    </w:p>
    <w:p>
      <w:pPr>
        <w:pStyle w:val="Normal"/>
        <w:tabs>
          <w:tab w:val="clear" w:pos="540"/>
        </w:tabs>
        <w:ind w:start="720" w:end="0"/>
        <w:rPr>
          <w:rFonts w:ascii="Times New Roman" w:hAnsi="Times New Roman" w:eastAsia="Times New Roman" w:cs="Times New Roman"/>
          <w:i/>
          <w:i/>
          <w:iCs/>
          <w:sz w:val="22"/>
          <w:szCs w:val="22"/>
        </w:rPr>
      </w:pPr>
      <w:r>
        <w:rPr>
          <w:rFonts w:eastAsia="Times New Roman" w:cs="Times New Roman" w:ascii="Times New Roman" w:hAnsi="Times New Roman"/>
          <w:i/>
          <w:iCs/>
          <w:sz w:val="22"/>
          <w:szCs w:val="22"/>
        </w:rPr>
      </w:r>
    </w:p>
    <w:p>
      <w:pPr>
        <w:pStyle w:val="Normal"/>
        <w:tabs>
          <w:tab w:val="clear" w:pos="540"/>
        </w:tabs>
        <w:rPr>
          <w:rFonts w:ascii="Times New Roman" w:hAnsi="Times New Roman" w:eastAsia="Times New Roman" w:cs="Times New Roman"/>
          <w:b/>
          <w:bCs/>
          <w:i/>
          <w:i/>
          <w:iCs/>
          <w:sz w:val="22"/>
          <w:szCs w:val="22"/>
        </w:rPr>
      </w:pPr>
      <w:r>
        <w:rPr>
          <w:rFonts w:eastAsia="Times New Roman" w:cs="Times New Roman" w:ascii="Times New Roman" w:hAnsi="Times New Roman"/>
          <w:b/>
          <w:bCs/>
          <w:i/>
          <w:iCs/>
          <w:sz w:val="22"/>
          <w:szCs w:val="22"/>
        </w:rPr>
      </w:r>
    </w:p>
    <w:p>
      <w:pPr>
        <w:pStyle w:val="Normal"/>
        <w:numPr>
          <w:ilvl w:val="0"/>
          <w:numId w:val="6"/>
        </w:numPr>
        <w:tabs>
          <w:tab w:val="clear" w:pos="540"/>
          <w:tab w:val="left" w:pos="0" w:leader="none"/>
        </w:tabs>
        <w:ind w:hanging="720" w:start="720" w:end="0"/>
        <w:rPr/>
      </w:pPr>
      <w:r>
        <w:rPr>
          <w:rFonts w:eastAsia="Times New Roman" w:cs="Times New Roman" w:ascii="Times New Roman" w:hAnsi="Times New Roman"/>
          <w:b/>
          <w:bCs/>
          <w:sz w:val="22"/>
          <w:szCs w:val="22"/>
        </w:rPr>
        <w:t xml:space="preserve">California Power Exchange, EL99-75.  </w:t>
      </w:r>
      <w:r>
        <w:rPr>
          <w:rFonts w:eastAsia="Times New Roman" w:cs="Times New Roman" w:ascii="Times New Roman" w:hAnsi="Times New Roman"/>
          <w:i/>
          <w:iCs/>
          <w:sz w:val="22"/>
          <w:szCs w:val="22"/>
        </w:rPr>
        <w:t xml:space="preserve">Amended Bylaws.  </w:t>
      </w:r>
      <w:r>
        <w:rPr>
          <w:rFonts w:eastAsia="Times New Roman" w:cs="Times New Roman" w:ascii="Times New Roman" w:hAnsi="Times New Roman"/>
          <w:sz w:val="22"/>
          <w:szCs w:val="22"/>
        </w:rPr>
        <w:t>On November 24, the California PX filed amended bylaws in compliance with FERC's order issued October 30, 1997 (EC96-19).  Along with these amended bylaws, California PX filed additional revisions outside the scope of above order but have nonetheless, been accepted by FERC.  The revisions relate to the Governing Board's authority to confirm or decline a market participant designate by majority vote.</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6"/>
        </w:numPr>
        <w:tabs>
          <w:tab w:val="clear" w:pos="540"/>
          <w:tab w:val="left" w:pos="0" w:leader="none"/>
        </w:tabs>
        <w:ind w:hanging="720" w:start="720" w:end="0"/>
        <w:rPr/>
      </w:pPr>
      <w:r>
        <w:rPr>
          <w:rFonts w:eastAsia="Times New Roman" w:cs="Times New Roman" w:ascii="Times New Roman" w:hAnsi="Times New Roman"/>
          <w:b/>
          <w:bCs/>
          <w:sz w:val="22"/>
          <w:szCs w:val="22"/>
        </w:rPr>
        <w:t xml:space="preserve">Central Montana Electric Power v. Montana Power, EL99-24.  </w:t>
      </w:r>
      <w:r>
        <w:rPr>
          <w:rFonts w:eastAsia="Times New Roman" w:cs="Times New Roman" w:ascii="Times New Roman" w:hAnsi="Times New Roman"/>
          <w:i/>
          <w:iCs/>
          <w:sz w:val="22"/>
          <w:szCs w:val="22"/>
        </w:rPr>
        <w:t xml:space="preserve">Certification of Uncontested Settlement.  </w:t>
      </w:r>
      <w:r>
        <w:rPr>
          <w:rFonts w:eastAsia="Times New Roman" w:cs="Times New Roman" w:ascii="Times New Roman" w:hAnsi="Times New Roman"/>
          <w:sz w:val="22"/>
          <w:szCs w:val="22"/>
        </w:rPr>
        <w:t>In an order issued January 27, the ALJ has certified the uncontested settlement on complaint between Central Montana Electric Power and Montana Power hinging on whether Montana Power's rates were excessive.  The settlement filed December 1, 1999 provides that the current rate level will continue for the remaining term of their existing contract.  Montana Power reserves the right to seek recovery of wholesale stranded costs upon any termination of the contract.  Currently, Central Montana has an unused allocation of power from Western Area Power Administration available for use from September 1999 through June 2000.  Therefore, Montana Power will receive the rate revenue for unused Western Area Power Administration power allocation delivered to Central Montana and Central Montana will pay Montana Power a surcharge of $0.006 per kWh of unused Western Area Power Administration power allocation used by Central Montana.</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6"/>
        </w:numPr>
        <w:tabs>
          <w:tab w:val="clear" w:pos="540"/>
          <w:tab w:val="left" w:pos="0" w:leader="none"/>
        </w:tabs>
        <w:ind w:hanging="720" w:start="720" w:end="0"/>
        <w:rPr/>
      </w:pPr>
      <w:r>
        <w:rPr>
          <w:rFonts w:eastAsia="Times New Roman" w:cs="Times New Roman" w:ascii="Times New Roman" w:hAnsi="Times New Roman"/>
          <w:b/>
          <w:bCs/>
          <w:sz w:val="22"/>
          <w:szCs w:val="22"/>
        </w:rPr>
        <w:t xml:space="preserve">Tampa Electric, ER00-718.  </w:t>
      </w:r>
      <w:r>
        <w:rPr>
          <w:rFonts w:eastAsia="Times New Roman" w:cs="Times New Roman" w:ascii="Times New Roman" w:hAnsi="Times New Roman"/>
          <w:i/>
          <w:iCs/>
          <w:sz w:val="22"/>
          <w:szCs w:val="22"/>
        </w:rPr>
        <w:t xml:space="preserve">Order Suspending Proposed Amendment to Power Sales Agreement.  </w:t>
      </w:r>
      <w:r>
        <w:rPr>
          <w:rFonts w:eastAsia="Times New Roman" w:cs="Times New Roman" w:ascii="Times New Roman" w:hAnsi="Times New Roman"/>
          <w:sz w:val="22"/>
          <w:szCs w:val="22"/>
        </w:rPr>
        <w:t>In an order issued January 27, FERC accepts but suspends, the proposed amendment to a power sales agreement filed by Tampa Electric and establishes hearing procedures.  At issue is the parties' interpretation of a limited and discrete provision in the PSA (whether Reedy Creek's decision to increase its minimum contract demand creates an obligation for it to take that increase for the remainder of the calendar year).  Since the parties cannot agree on the interpretation, FERC sets the proceeding for hearing.</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6"/>
        </w:numPr>
        <w:tabs>
          <w:tab w:val="clear" w:pos="540"/>
          <w:tab w:val="left" w:pos="0" w:leader="none"/>
        </w:tabs>
        <w:ind w:hanging="720" w:start="720" w:end="0"/>
        <w:rPr/>
      </w:pPr>
      <w:r>
        <w:rPr>
          <w:rFonts w:eastAsia="Times New Roman" w:cs="Times New Roman" w:ascii="Times New Roman" w:hAnsi="Times New Roman"/>
          <w:b/>
          <w:bCs/>
          <w:sz w:val="22"/>
          <w:szCs w:val="22"/>
        </w:rPr>
        <w:t xml:space="preserve">Puget Sound Energy, ER00-663.  </w:t>
      </w:r>
      <w:r>
        <w:rPr>
          <w:rFonts w:eastAsia="Times New Roman" w:cs="Times New Roman" w:ascii="Times New Roman" w:hAnsi="Times New Roman"/>
          <w:i/>
          <w:iCs/>
          <w:sz w:val="22"/>
          <w:szCs w:val="22"/>
        </w:rPr>
        <w:t xml:space="preserve">Order on Proposed Long Term Firm Point-to-Point and Interconnection Agreements.  </w:t>
      </w:r>
      <w:r>
        <w:rPr>
          <w:rFonts w:eastAsia="Times New Roman" w:cs="Times New Roman" w:ascii="Times New Roman" w:hAnsi="Times New Roman"/>
          <w:sz w:val="22"/>
          <w:szCs w:val="22"/>
        </w:rPr>
        <w:t xml:space="preserve">  In the order issued January 27, FERC accepts the proposed unexecuted service agreements and suspends and sets for hearing the proposed unexecuted interconnection agreements.  FERC consolidates docket nos. ER00-671 through ER00-678 for hearing purposes.  Puget Sound intends to replace the unexecuted short-term agreements with Bonneville (US DOE) with 8 unexecuted long-term firm point-to-point service agreements.  Bonneville states that all of the unexecuted service agreements are designed to provide service over Puget Sound's system in order for Bonneville to provide power to its customers who are not interconnected with its main grid.  Bonneville opposes the unexecuted service agreements at issue here asserting that the disconnection and interconnection provisions are not legal.  FERC finds inconsistency with the disconnection language in Puget Sound's pro forma tariff service agreement.  FERC rejects this section of the agreements, but agreements are accepted.    However, the unexecuted interconnection agreements are suspended and set for hearing.</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6"/>
        </w:numPr>
        <w:tabs>
          <w:tab w:val="clear" w:pos="540"/>
          <w:tab w:val="left" w:pos="0" w:leader="none"/>
        </w:tabs>
        <w:ind w:hanging="720" w:start="720" w:end="0"/>
        <w:rPr/>
      </w:pPr>
      <w:r>
        <w:rPr>
          <w:rFonts w:eastAsia="Times New Roman" w:cs="Times New Roman" w:ascii="Times New Roman" w:hAnsi="Times New Roman"/>
          <w:b/>
          <w:bCs/>
          <w:sz w:val="22"/>
          <w:szCs w:val="22"/>
        </w:rPr>
        <w:t xml:space="preserve">Allegheny Energy Service, ER00-1149/1150.  </w:t>
      </w:r>
      <w:r>
        <w:rPr>
          <w:rFonts w:eastAsia="Times New Roman" w:cs="Times New Roman" w:ascii="Times New Roman" w:hAnsi="Times New Roman"/>
          <w:i/>
          <w:iCs/>
          <w:sz w:val="22"/>
          <w:szCs w:val="22"/>
        </w:rPr>
        <w:t xml:space="preserve">Supplements to OATT.  </w:t>
      </w:r>
      <w:r>
        <w:rPr>
          <w:rFonts w:eastAsia="Times New Roman" w:cs="Times New Roman" w:ascii="Times New Roman" w:hAnsi="Times New Roman"/>
          <w:sz w:val="22"/>
          <w:szCs w:val="22"/>
        </w:rPr>
        <w:t xml:space="preserve">On January 19, Allegheny Energy filed on behalf of Monongahela Power, Potomac Edison and West Penn Power, supplements to add Engage Energy and Nicole Energy Services to Allegheny Power's OATT.  Protests were due on February 8.  The filings were noticed on January 24.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6"/>
        </w:numPr>
        <w:tabs>
          <w:tab w:val="clear" w:pos="540"/>
          <w:tab w:val="left" w:pos="0" w:leader="none"/>
        </w:tabs>
        <w:ind w:hanging="720" w:start="720" w:end="0"/>
        <w:rPr/>
      </w:pPr>
      <w:r>
        <w:rPr>
          <w:rFonts w:eastAsia="Times New Roman" w:cs="Times New Roman" w:ascii="Times New Roman" w:hAnsi="Times New Roman"/>
          <w:b/>
          <w:bCs/>
          <w:sz w:val="22"/>
          <w:szCs w:val="22"/>
        </w:rPr>
        <w:t xml:space="preserve">Atlantic City Electric, EL00-36.  </w:t>
      </w:r>
      <w:r>
        <w:rPr>
          <w:rFonts w:eastAsia="Times New Roman" w:cs="Times New Roman" w:ascii="Times New Roman" w:hAnsi="Times New Roman"/>
          <w:i/>
          <w:iCs/>
          <w:sz w:val="22"/>
          <w:szCs w:val="22"/>
        </w:rPr>
        <w:t xml:space="preserve">Notice of Complaint.  </w:t>
      </w:r>
      <w:r>
        <w:rPr>
          <w:rFonts w:eastAsia="Times New Roman" w:cs="Times New Roman" w:ascii="Times New Roman" w:hAnsi="Times New Roman"/>
          <w:sz w:val="22"/>
          <w:szCs w:val="22"/>
        </w:rPr>
        <w:t xml:space="preserve">On January 21, Atlantic City Electric, Camden Cogen, Delmarva Power &amp; Light, Edison Mission Marketing &amp; Trading, Electric Power Supply Association, FPL Energy, New Energy, Old Dominion Electric Cooperative, PECO Energy, PG&amp;&amp;E Energy, PG&amp;E Energy Trading-Power, Sithe Power Marketing, Strategic Energy, Virginia Electric and Power, Williams Energy Marketing and Trading and WPS Energy Services filed a complaint against PJM Interconnection for attempting to eliminate certain payments for operating reserves without a FERC rate filing.  Protests were due on January 31, 2000.  The filing was noticed on January 24.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6"/>
        </w:numPr>
        <w:tabs>
          <w:tab w:val="clear" w:pos="540"/>
          <w:tab w:val="left" w:pos="0" w:leader="none"/>
        </w:tabs>
        <w:ind w:hanging="720" w:start="720" w:end="0"/>
        <w:rPr/>
      </w:pPr>
      <w:r>
        <w:rPr>
          <w:rFonts w:eastAsia="Times New Roman" w:cs="Times New Roman" w:ascii="Times New Roman" w:hAnsi="Times New Roman"/>
          <w:b/>
          <w:bCs/>
          <w:sz w:val="22"/>
          <w:szCs w:val="22"/>
        </w:rPr>
        <w:t xml:space="preserve">Gleason Power, ER00-139.  </w:t>
      </w:r>
      <w:r>
        <w:rPr>
          <w:rFonts w:eastAsia="Times New Roman" w:cs="Times New Roman" w:ascii="Times New Roman" w:hAnsi="Times New Roman"/>
          <w:i/>
          <w:iCs/>
          <w:sz w:val="22"/>
          <w:szCs w:val="22"/>
        </w:rPr>
        <w:t xml:space="preserve">Waiver and Blanket Application.  </w:t>
      </w:r>
      <w:r>
        <w:rPr>
          <w:rFonts w:eastAsia="Times New Roman" w:cs="Times New Roman" w:ascii="Times New Roman" w:hAnsi="Times New Roman"/>
          <w:sz w:val="22"/>
          <w:szCs w:val="22"/>
        </w:rPr>
        <w:t xml:space="preserve">On January 18, Gleason Power In a letter issued January, filed an application for waivers and blanket approvals in order to permit Gleason to engage electric power and energy transactions as a marketer and broker.  Protests were due on February 7.  The filing was noticed on January 24.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6"/>
        </w:numPr>
        <w:tabs>
          <w:tab w:val="clear" w:pos="540"/>
          <w:tab w:val="left" w:pos="0" w:leader="none"/>
        </w:tabs>
        <w:ind w:hanging="720" w:start="720" w:end="0"/>
        <w:rPr/>
      </w:pPr>
      <w:r>
        <w:rPr>
          <w:rFonts w:eastAsia="Times New Roman" w:cs="Times New Roman" w:ascii="Times New Roman" w:hAnsi="Times New Roman"/>
          <w:b/>
          <w:bCs/>
          <w:sz w:val="22"/>
          <w:szCs w:val="22"/>
        </w:rPr>
        <w:t xml:space="preserve">Des Plaines Green Land Development, ER00-1140.  </w:t>
      </w:r>
      <w:r>
        <w:rPr>
          <w:rFonts w:eastAsia="Times New Roman" w:cs="Times New Roman" w:ascii="Times New Roman" w:hAnsi="Times New Roman"/>
          <w:i/>
          <w:iCs/>
          <w:sz w:val="22"/>
          <w:szCs w:val="22"/>
        </w:rPr>
        <w:t xml:space="preserve">Waiver and Blanket Application.  </w:t>
      </w:r>
      <w:r>
        <w:rPr>
          <w:rFonts w:eastAsia="Times New Roman" w:cs="Times New Roman" w:ascii="Times New Roman" w:hAnsi="Times New Roman"/>
          <w:sz w:val="22"/>
          <w:szCs w:val="22"/>
        </w:rPr>
        <w:t xml:space="preserve">On January 18, Des Plaines Green Land Development filed an application for waivers and blanket approvals in order to permit Des Plaines to engage in electric power and energy transactions as a marketer and a broker.  Protests were due on February 7.  The filing was noticed on January 24.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6"/>
        </w:numPr>
        <w:tabs>
          <w:tab w:val="clear" w:pos="540"/>
          <w:tab w:val="left" w:pos="0" w:leader="none"/>
        </w:tabs>
        <w:ind w:hanging="720" w:start="720" w:end="0"/>
        <w:rPr/>
      </w:pPr>
      <w:r>
        <w:rPr>
          <w:rFonts w:eastAsia="Times New Roman" w:cs="Times New Roman" w:ascii="Times New Roman" w:hAnsi="Times New Roman"/>
          <w:b/>
          <w:bCs/>
          <w:sz w:val="22"/>
          <w:szCs w:val="22"/>
        </w:rPr>
        <w:t xml:space="preserve">West Fork Land Development, ER00-1141.  </w:t>
      </w:r>
      <w:r>
        <w:rPr>
          <w:rFonts w:eastAsia="Times New Roman" w:cs="Times New Roman" w:ascii="Times New Roman" w:hAnsi="Times New Roman"/>
          <w:i/>
          <w:iCs/>
          <w:sz w:val="22"/>
          <w:szCs w:val="22"/>
        </w:rPr>
        <w:t xml:space="preserve">Waiver and Blanket Application.  </w:t>
      </w:r>
      <w:r>
        <w:rPr>
          <w:rFonts w:eastAsia="Times New Roman" w:cs="Times New Roman" w:ascii="Times New Roman" w:hAnsi="Times New Roman"/>
          <w:sz w:val="22"/>
          <w:szCs w:val="22"/>
        </w:rPr>
        <w:t xml:space="preserve">On January 18, West Fork L and Development filed an application for waivers and blanket approvals in order to permit Des Plaines to engage in electric power and energy transactions as a marketer and a broker.  Protests were due on February 7.  The filing was noticed on January 24.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6"/>
        </w:numPr>
        <w:tabs>
          <w:tab w:val="clear" w:pos="540"/>
          <w:tab w:val="left" w:pos="0" w:leader="none"/>
        </w:tabs>
        <w:ind w:hanging="720" w:start="720" w:end="0"/>
        <w:rPr/>
      </w:pPr>
      <w:r>
        <w:rPr>
          <w:rFonts w:eastAsia="Times New Roman" w:cs="Times New Roman" w:ascii="Times New Roman" w:hAnsi="Times New Roman"/>
          <w:b/>
          <w:bCs/>
          <w:sz w:val="22"/>
          <w:szCs w:val="22"/>
        </w:rPr>
        <w:t xml:space="preserve">Ameren Services, ER00-1144/1145.  </w:t>
      </w:r>
      <w:r>
        <w:rPr>
          <w:rFonts w:eastAsia="Times New Roman" w:cs="Times New Roman" w:ascii="Times New Roman" w:hAnsi="Times New Roman"/>
          <w:i/>
          <w:iCs/>
          <w:sz w:val="22"/>
          <w:szCs w:val="22"/>
        </w:rPr>
        <w:t xml:space="preserve">Interconnection Agreements.  </w:t>
      </w:r>
      <w:r>
        <w:rPr>
          <w:rFonts w:eastAsia="Times New Roman" w:cs="Times New Roman" w:ascii="Times New Roman" w:hAnsi="Times New Roman"/>
          <w:sz w:val="22"/>
          <w:szCs w:val="22"/>
        </w:rPr>
        <w:t xml:space="preserve">On January 19, Ameren Services filed Interconnection Agreements with Soyland Power Cooperative  and Southwestern Electric Cooperative.  The purpose of the agreement is to establish the rights and obligations of Soyland and Southwestern at the point of interconnection.  Protests were due on February 8.  The filings were noticed on January 24.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6"/>
        </w:numPr>
        <w:tabs>
          <w:tab w:val="clear" w:pos="540"/>
          <w:tab w:val="left" w:pos="0" w:leader="none"/>
        </w:tabs>
        <w:ind w:hanging="720" w:start="720" w:end="0"/>
        <w:rPr/>
      </w:pPr>
      <w:r>
        <w:rPr>
          <w:rFonts w:eastAsia="Times New Roman" w:cs="Times New Roman" w:ascii="Times New Roman" w:hAnsi="Times New Roman"/>
          <w:b/>
          <w:bCs/>
          <w:sz w:val="22"/>
          <w:szCs w:val="22"/>
        </w:rPr>
        <w:t xml:space="preserve">AES Londonderry, ER00-1147.  </w:t>
      </w:r>
      <w:r>
        <w:rPr>
          <w:rFonts w:eastAsia="Times New Roman" w:cs="Times New Roman" w:ascii="Times New Roman" w:hAnsi="Times New Roman"/>
          <w:i/>
          <w:iCs/>
          <w:sz w:val="22"/>
          <w:szCs w:val="22"/>
        </w:rPr>
        <w:t xml:space="preserve">Initial Rate Schedule.  </w:t>
      </w:r>
      <w:r>
        <w:rPr>
          <w:rFonts w:eastAsia="Times New Roman" w:cs="Times New Roman" w:ascii="Times New Roman" w:hAnsi="Times New Roman"/>
          <w:sz w:val="22"/>
          <w:szCs w:val="22"/>
        </w:rPr>
        <w:t xml:space="preserve">On January 19, AES filed an initial rate schedule and request for certain waivers and authorizations to provide for the sale to wholesale purchasers at market based rates in Londonderry, Rockingham County, and New Hampshire.  Protests were due on February 8.  The filing was noticed on January 24.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6"/>
        </w:numPr>
        <w:tabs>
          <w:tab w:val="clear" w:pos="540"/>
          <w:tab w:val="left" w:pos="0" w:leader="none"/>
        </w:tabs>
        <w:ind w:hanging="720" w:start="720" w:end="0"/>
        <w:rPr/>
      </w:pPr>
      <w:r>
        <w:rPr>
          <w:rFonts w:eastAsia="Times New Roman" w:cs="Times New Roman" w:ascii="Times New Roman" w:hAnsi="Times New Roman"/>
          <w:b/>
          <w:bCs/>
          <w:sz w:val="22"/>
          <w:szCs w:val="22"/>
        </w:rPr>
        <w:t xml:space="preserve">Cinergy Services, ER00-1148.  </w:t>
      </w:r>
      <w:r>
        <w:rPr>
          <w:rFonts w:eastAsia="Times New Roman" w:cs="Times New Roman" w:ascii="Times New Roman" w:hAnsi="Times New Roman"/>
          <w:i/>
          <w:iCs/>
          <w:sz w:val="22"/>
          <w:szCs w:val="22"/>
        </w:rPr>
        <w:t xml:space="preserve">Service Agreement.  </w:t>
      </w:r>
      <w:r>
        <w:rPr>
          <w:rFonts w:eastAsia="Times New Roman" w:cs="Times New Roman" w:ascii="Times New Roman" w:hAnsi="Times New Roman"/>
          <w:sz w:val="22"/>
          <w:szCs w:val="22"/>
        </w:rPr>
        <w:t xml:space="preserve">On January 19, Cinergy filed on behalf of its operating company affiliates (The Cincinnati Gas &amp; Electric Company and PSI Energy) a service agreement under Cinergy's Resale, Assignment or Transfer of Transmission Rights and Ancillary Service Rights Tariff with DTE Energy Trading.  Protests were due on February 8.  The filing was noticed on January 24.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6"/>
        </w:numPr>
        <w:tabs>
          <w:tab w:val="clear" w:pos="540"/>
          <w:tab w:val="left" w:pos="0" w:leader="none"/>
        </w:tabs>
        <w:ind w:hanging="720" w:start="720" w:end="0"/>
        <w:rPr/>
      </w:pPr>
      <w:r>
        <w:rPr>
          <w:rFonts w:eastAsia="Times New Roman" w:cs="Times New Roman" w:ascii="Times New Roman" w:hAnsi="Times New Roman"/>
          <w:b/>
          <w:bCs/>
          <w:sz w:val="22"/>
          <w:szCs w:val="22"/>
        </w:rPr>
        <w:t xml:space="preserve">Allegheny Electric Cooperative, EL98-65.  </w:t>
      </w:r>
      <w:r>
        <w:rPr>
          <w:rFonts w:eastAsia="Times New Roman" w:cs="Times New Roman" w:ascii="Times New Roman" w:hAnsi="Times New Roman"/>
          <w:i/>
          <w:iCs/>
          <w:sz w:val="22"/>
          <w:szCs w:val="22"/>
        </w:rPr>
        <w:t xml:space="preserve">Certification of Uncontested Settlement.  </w:t>
      </w:r>
      <w:r>
        <w:rPr>
          <w:rFonts w:eastAsia="Times New Roman" w:cs="Times New Roman" w:ascii="Times New Roman" w:hAnsi="Times New Roman"/>
          <w:sz w:val="22"/>
          <w:szCs w:val="22"/>
        </w:rPr>
        <w:t xml:space="preserve">On July 23, 1998, Allegheny filed a complaint pursuant to section 206 of the FPA concerning GPU's billing procedures under the 1993 WASP agreement.  In its complaint, Allegheny sought an order issuing PenElec to compute its bills based on the amount of power that Allegheny actually needs from PenElec to meet its load and refund any amounts paid in excess of that actually supplied.  This settlement provides 12 separate provisions relating to the billing procedures and permits refunds to Allegheny in the amount of $250,000 through March 31, 1999 and for service beginning January 1, 1999 an adjustment to Allegheny's bill will reflect the deduction of power and energy consumed by member cooperatives from alternative suppliers.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6"/>
        </w:numPr>
        <w:tabs>
          <w:tab w:val="clear" w:pos="540"/>
          <w:tab w:val="left" w:pos="0" w:leader="none"/>
        </w:tabs>
        <w:ind w:hanging="720" w:start="720" w:end="0"/>
        <w:rPr/>
      </w:pPr>
      <w:r>
        <w:rPr>
          <w:rFonts w:eastAsia="Times New Roman" w:cs="Times New Roman" w:ascii="Times New Roman" w:hAnsi="Times New Roman"/>
          <w:b/>
          <w:bCs/>
          <w:sz w:val="22"/>
          <w:szCs w:val="22"/>
        </w:rPr>
        <w:t xml:space="preserve">New England Power Pool, ER99-2335.  </w:t>
      </w:r>
      <w:r>
        <w:rPr>
          <w:rFonts w:eastAsia="Times New Roman" w:cs="Times New Roman" w:ascii="Times New Roman" w:hAnsi="Times New Roman"/>
          <w:i/>
          <w:iCs/>
          <w:sz w:val="22"/>
          <w:szCs w:val="22"/>
        </w:rPr>
        <w:t xml:space="preserve">Informational Filing. </w:t>
      </w:r>
      <w:r>
        <w:rPr>
          <w:rFonts w:eastAsia="Times New Roman" w:cs="Times New Roman" w:ascii="Times New Roman" w:hAnsi="Times New Roman"/>
          <w:sz w:val="22"/>
          <w:szCs w:val="22"/>
        </w:rPr>
        <w:t xml:space="preserve">On January 19, NEPOOL filed additional information to its December 30, 1999 filing identifying the status of its efforts to develop a Congestion Management System and Multi-Settlement System.  This supplemental information provides an update.  Protests were due on February 8.  The filing was noticed on January 24.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6"/>
        </w:numPr>
        <w:tabs>
          <w:tab w:val="clear" w:pos="540"/>
          <w:tab w:val="left" w:pos="0" w:leader="none"/>
        </w:tabs>
        <w:ind w:hanging="720" w:start="720" w:end="0"/>
        <w:rPr/>
      </w:pPr>
      <w:r>
        <w:rPr>
          <w:rFonts w:eastAsia="Times New Roman" w:cs="Times New Roman" w:ascii="Times New Roman" w:hAnsi="Times New Roman"/>
          <w:b/>
          <w:bCs/>
          <w:sz w:val="22"/>
          <w:szCs w:val="22"/>
        </w:rPr>
        <w:t xml:space="preserve">Pennsylvania Electric, ER00-639.  </w:t>
      </w:r>
      <w:r>
        <w:rPr>
          <w:rFonts w:eastAsia="Times New Roman" w:cs="Times New Roman" w:ascii="Times New Roman" w:hAnsi="Times New Roman"/>
          <w:i/>
          <w:iCs/>
          <w:sz w:val="22"/>
          <w:szCs w:val="22"/>
        </w:rPr>
        <w:t xml:space="preserve">Amendment.  </w:t>
      </w:r>
      <w:r>
        <w:rPr>
          <w:rFonts w:eastAsia="Times New Roman" w:cs="Times New Roman" w:ascii="Times New Roman" w:hAnsi="Times New Roman"/>
          <w:sz w:val="22"/>
          <w:szCs w:val="22"/>
        </w:rPr>
        <w:t>On January 19, Pennsylvania Electric filed an amendment to its November 23, 1999 filing.  Protests were due on February 8.  The filing was noticed on January 24. RIMS</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6"/>
        </w:numPr>
        <w:tabs>
          <w:tab w:val="clear" w:pos="540"/>
          <w:tab w:val="left" w:pos="0" w:leader="none"/>
        </w:tabs>
        <w:ind w:hanging="720" w:start="720" w:end="0"/>
        <w:rPr/>
      </w:pPr>
      <w:r>
        <w:rPr>
          <w:rFonts w:eastAsia="Times New Roman" w:cs="Times New Roman" w:ascii="Times New Roman" w:hAnsi="Times New Roman"/>
          <w:b/>
          <w:bCs/>
          <w:sz w:val="22"/>
          <w:szCs w:val="22"/>
        </w:rPr>
        <w:t xml:space="preserve">Atlantic City Electric, ER00-638.  </w:t>
      </w:r>
      <w:r>
        <w:rPr>
          <w:rFonts w:eastAsia="Times New Roman" w:cs="Times New Roman" w:ascii="Times New Roman" w:hAnsi="Times New Roman"/>
          <w:i/>
          <w:iCs/>
          <w:sz w:val="22"/>
          <w:szCs w:val="22"/>
        </w:rPr>
        <w:t xml:space="preserve">Amendment.  </w:t>
      </w:r>
      <w:r>
        <w:rPr>
          <w:rFonts w:eastAsia="Times New Roman" w:cs="Times New Roman" w:ascii="Times New Roman" w:hAnsi="Times New Roman"/>
          <w:sz w:val="22"/>
          <w:szCs w:val="22"/>
        </w:rPr>
        <w:t xml:space="preserve">On January 19, Atlantic City Electric, Baltimore Gas &amp; Electric, Delmarva Power &amp; Light, Metropolitan Edison, PP&amp;L, PECO Energy, UGI Utilities, Potomac Electric Power and Public Service Electric and Gas filed an amendment to their November 23, 1999 filing.  Protests were due on February 8.  The filing was noticed on January 24. </w:t>
      </w:r>
    </w:p>
    <w:p>
      <w:pPr>
        <w:pStyle w:val="Normal"/>
        <w:numPr>
          <w:ilvl w:val="0"/>
          <w:numId w:val="0"/>
        </w:numPr>
        <w:tabs>
          <w:tab w:val="clear" w:pos="540"/>
        </w:tabs>
        <w:ind w:hanging="0" w:start="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6"/>
        </w:numPr>
        <w:tabs>
          <w:tab w:val="clear" w:pos="540"/>
          <w:tab w:val="left" w:pos="0" w:leader="none"/>
        </w:tabs>
        <w:ind w:hanging="720" w:start="720" w:end="0"/>
        <w:jc w:val="center"/>
        <w:rPr>
          <w:rFonts w:ascii="Times New Roman" w:hAnsi="Times New Roman" w:eastAsia="Times New Roman" w:cs="Times New Roman"/>
          <w:sz w:val="22"/>
          <w:szCs w:val="22"/>
        </w:rPr>
      </w:pPr>
      <w:r>
        <w:rPr>
          <w:rFonts w:eastAsia="Times New Roman" w:cs="Times New Roman" w:ascii="Times New Roman" w:hAnsi="Times New Roman"/>
          <w:b/>
          <w:bCs/>
          <w:sz w:val="22"/>
          <w:szCs w:val="22"/>
        </w:rPr>
        <w:t>Exempt Wholesale Generators</w:t>
      </w:r>
    </w:p>
    <w:p>
      <w:pPr>
        <w:pStyle w:val="Normal"/>
        <w:tabs>
          <w:tab w:val="clear" w:pos="540"/>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tbl>
      <w:tblPr>
        <w:tblW w:w="8100" w:type="dxa"/>
        <w:jc w:val="start"/>
        <w:tblInd w:w="738" w:type="dxa"/>
        <w:tblLayout w:type="fixed"/>
        <w:tblCellMar>
          <w:top w:w="0" w:type="dxa"/>
          <w:start w:w="108" w:type="dxa"/>
          <w:bottom w:w="0" w:type="dxa"/>
          <w:end w:w="108" w:type="dxa"/>
        </w:tblCellMar>
      </w:tblPr>
      <w:tblGrid>
        <w:gridCol w:w="3780"/>
        <w:gridCol w:w="2340"/>
        <w:gridCol w:w="1980"/>
      </w:tblGrid>
      <w:tr>
        <w:trPr/>
        <w:tc>
          <w:tcPr>
            <w:tcW w:w="3780" w:type="dxa"/>
            <w:tcBorders>
              <w:top w:val="single" w:sz="6" w:space="0" w:color="000000"/>
              <w:start w:val="single" w:sz="6" w:space="0" w:color="000000"/>
              <w:bottom w:val="single" w:sz="6" w:space="0" w:color="000000"/>
              <w:end w:val="single" w:sz="6" w:space="0" w:color="000000"/>
            </w:tcBorders>
          </w:tcPr>
          <w:p>
            <w:pPr>
              <w:pStyle w:val="Normal"/>
              <w:tabs>
                <w:tab w:val="clear" w:pos="540"/>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Name of Entity</w:t>
            </w:r>
          </w:p>
        </w:tc>
        <w:tc>
          <w:tcPr>
            <w:tcW w:w="2340" w:type="dxa"/>
            <w:tcBorders>
              <w:top w:val="single" w:sz="6" w:space="0" w:color="000000"/>
              <w:start w:val="single" w:sz="6" w:space="0" w:color="000000"/>
              <w:bottom w:val="single" w:sz="6" w:space="0" w:color="000000"/>
              <w:end w:val="single" w:sz="6" w:space="0" w:color="000000"/>
            </w:tcBorders>
          </w:tcPr>
          <w:p>
            <w:pPr>
              <w:pStyle w:val="Normal"/>
              <w:tabs>
                <w:tab w:val="clear" w:pos="540"/>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Submitted</w:t>
            </w:r>
          </w:p>
        </w:tc>
        <w:tc>
          <w:tcPr>
            <w:tcW w:w="1980" w:type="dxa"/>
            <w:tcBorders>
              <w:top w:val="single" w:sz="6" w:space="0" w:color="000000"/>
              <w:start w:val="single" w:sz="6" w:space="0" w:color="000000"/>
              <w:bottom w:val="single" w:sz="6" w:space="0" w:color="000000"/>
              <w:end w:val="single" w:sz="6" w:space="0" w:color="000000"/>
            </w:tcBorders>
          </w:tcPr>
          <w:p>
            <w:pPr>
              <w:pStyle w:val="Normal"/>
              <w:tabs>
                <w:tab w:val="clear" w:pos="540"/>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Accepted</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2"/>
                <w:szCs w:val="22"/>
              </w:rPr>
            </w:pPr>
            <w:r>
              <w:rPr>
                <w:rFonts w:eastAsia="Times New Roman" w:cs="Times New Roman" w:ascii="Times New Roman" w:hAnsi="Times New Roman"/>
                <w:sz w:val="22"/>
                <w:szCs w:val="22"/>
              </w:rPr>
              <w:t>Union Power Partners, LP</w:t>
            </w:r>
          </w:p>
        </w:tc>
        <w:tc>
          <w:tcPr>
            <w:tcW w:w="2340" w:type="dxa"/>
            <w:tcBorders>
              <w:top w:val="single" w:sz="6" w:space="0" w:color="000000"/>
              <w:start w:val="single" w:sz="6" w:space="0" w:color="000000"/>
              <w:bottom w:val="single" w:sz="6" w:space="0" w:color="000000"/>
              <w:end w:val="single" w:sz="6" w:space="0" w:color="000000"/>
            </w:tcBorders>
          </w:tcPr>
          <w:p>
            <w:pPr>
              <w:pStyle w:val="Normal"/>
              <w:tabs>
                <w:tab w:val="clear" w:pos="540"/>
              </w:tabs>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12/21/99</w:t>
            </w:r>
          </w:p>
        </w:tc>
        <w:tc>
          <w:tcPr>
            <w:tcW w:w="1980" w:type="dxa"/>
            <w:tcBorders>
              <w:top w:val="single" w:sz="6" w:space="0" w:color="000000"/>
              <w:start w:val="single" w:sz="6" w:space="0" w:color="000000"/>
              <w:bottom w:val="single" w:sz="6" w:space="0" w:color="000000"/>
              <w:end w:val="single" w:sz="6" w:space="0" w:color="000000"/>
            </w:tcBorders>
          </w:tcPr>
          <w:p>
            <w:pPr>
              <w:pStyle w:val="Normal"/>
              <w:tabs>
                <w:tab w:val="clear" w:pos="540"/>
              </w:tabs>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1/27/00</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2"/>
                <w:szCs w:val="22"/>
              </w:rPr>
            </w:pPr>
            <w:r>
              <w:rPr>
                <w:rFonts w:eastAsia="Times New Roman" w:cs="Times New Roman" w:ascii="Times New Roman" w:hAnsi="Times New Roman"/>
                <w:sz w:val="22"/>
                <w:szCs w:val="22"/>
              </w:rPr>
              <w:t>Sithe Tamuin Energy</w:t>
            </w:r>
          </w:p>
        </w:tc>
        <w:tc>
          <w:tcPr>
            <w:tcW w:w="2340" w:type="dxa"/>
            <w:tcBorders>
              <w:top w:val="single" w:sz="6" w:space="0" w:color="000000"/>
              <w:start w:val="single" w:sz="6" w:space="0" w:color="000000"/>
              <w:bottom w:val="single" w:sz="6" w:space="0" w:color="000000"/>
              <w:end w:val="single" w:sz="6" w:space="0" w:color="000000"/>
            </w:tcBorders>
          </w:tcPr>
          <w:p>
            <w:pPr>
              <w:pStyle w:val="Normal"/>
              <w:tabs>
                <w:tab w:val="clear" w:pos="540"/>
              </w:tabs>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12/08/99</w:t>
            </w:r>
          </w:p>
        </w:tc>
        <w:tc>
          <w:tcPr>
            <w:tcW w:w="1980" w:type="dxa"/>
            <w:tcBorders>
              <w:top w:val="single" w:sz="6" w:space="0" w:color="000000"/>
              <w:start w:val="single" w:sz="6" w:space="0" w:color="000000"/>
              <w:bottom w:val="single" w:sz="6" w:space="0" w:color="000000"/>
              <w:end w:val="single" w:sz="6" w:space="0" w:color="000000"/>
            </w:tcBorders>
          </w:tcPr>
          <w:p>
            <w:pPr>
              <w:pStyle w:val="Normal"/>
              <w:tabs>
                <w:tab w:val="clear" w:pos="540"/>
              </w:tabs>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1/28/00</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2"/>
                <w:szCs w:val="22"/>
              </w:rPr>
            </w:pPr>
            <w:r>
              <w:rPr>
                <w:rFonts w:eastAsia="Times New Roman" w:cs="Times New Roman" w:ascii="Times New Roman" w:hAnsi="Times New Roman"/>
                <w:sz w:val="22"/>
                <w:szCs w:val="22"/>
              </w:rPr>
              <w:t>O'Brien Cogeneration, Inc.</w:t>
            </w:r>
          </w:p>
        </w:tc>
        <w:tc>
          <w:tcPr>
            <w:tcW w:w="2340" w:type="dxa"/>
            <w:tcBorders>
              <w:top w:val="single" w:sz="6" w:space="0" w:color="000000"/>
              <w:start w:val="single" w:sz="6" w:space="0" w:color="000000"/>
              <w:bottom w:val="single" w:sz="6" w:space="0" w:color="000000"/>
              <w:end w:val="single" w:sz="6" w:space="0" w:color="000000"/>
            </w:tcBorders>
          </w:tcPr>
          <w:p>
            <w:pPr>
              <w:pStyle w:val="Normal"/>
              <w:tabs>
                <w:tab w:val="clear" w:pos="540"/>
              </w:tabs>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12/17/99</w:t>
            </w:r>
          </w:p>
        </w:tc>
        <w:tc>
          <w:tcPr>
            <w:tcW w:w="1980" w:type="dxa"/>
            <w:tcBorders>
              <w:top w:val="single" w:sz="6" w:space="0" w:color="000000"/>
              <w:start w:val="single" w:sz="6" w:space="0" w:color="000000"/>
              <w:bottom w:val="single" w:sz="6" w:space="0" w:color="000000"/>
              <w:end w:val="single" w:sz="6" w:space="0" w:color="000000"/>
            </w:tcBorders>
          </w:tcPr>
          <w:p>
            <w:pPr>
              <w:pStyle w:val="Normal"/>
              <w:tabs>
                <w:tab w:val="clear" w:pos="540"/>
              </w:tabs>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1/27/00</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2"/>
                <w:szCs w:val="22"/>
              </w:rPr>
            </w:pPr>
            <w:r>
              <w:rPr>
                <w:rFonts w:eastAsia="Times New Roman" w:cs="Times New Roman" w:ascii="Times New Roman" w:hAnsi="Times New Roman"/>
                <w:sz w:val="22"/>
                <w:szCs w:val="22"/>
              </w:rPr>
              <w:t>Archer Power Partners</w:t>
            </w:r>
          </w:p>
        </w:tc>
        <w:tc>
          <w:tcPr>
            <w:tcW w:w="2340" w:type="dxa"/>
            <w:tcBorders>
              <w:top w:val="single" w:sz="6" w:space="0" w:color="000000"/>
              <w:start w:val="single" w:sz="6" w:space="0" w:color="000000"/>
              <w:bottom w:val="single" w:sz="6" w:space="0" w:color="000000"/>
              <w:end w:val="single" w:sz="6" w:space="0" w:color="000000"/>
            </w:tcBorders>
          </w:tcPr>
          <w:p>
            <w:pPr>
              <w:pStyle w:val="Normal"/>
              <w:tabs>
                <w:tab w:val="clear" w:pos="540"/>
              </w:tabs>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12/21/99</w:t>
            </w:r>
          </w:p>
        </w:tc>
        <w:tc>
          <w:tcPr>
            <w:tcW w:w="1980" w:type="dxa"/>
            <w:tcBorders>
              <w:top w:val="single" w:sz="6" w:space="0" w:color="000000"/>
              <w:start w:val="single" w:sz="6" w:space="0" w:color="000000"/>
              <w:bottom w:val="single" w:sz="6" w:space="0" w:color="000000"/>
              <w:end w:val="single" w:sz="6" w:space="0" w:color="000000"/>
            </w:tcBorders>
          </w:tcPr>
          <w:p>
            <w:pPr>
              <w:pStyle w:val="Normal"/>
              <w:tabs>
                <w:tab w:val="clear" w:pos="540"/>
              </w:tabs>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1/27/00</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Midlothian Energy </w:t>
            </w:r>
          </w:p>
        </w:tc>
        <w:tc>
          <w:tcPr>
            <w:tcW w:w="2340" w:type="dxa"/>
            <w:tcBorders>
              <w:top w:val="single" w:sz="6" w:space="0" w:color="000000"/>
              <w:start w:val="single" w:sz="6" w:space="0" w:color="000000"/>
              <w:bottom w:val="single" w:sz="6" w:space="0" w:color="000000"/>
              <w:end w:val="single" w:sz="6" w:space="0" w:color="000000"/>
            </w:tcBorders>
          </w:tcPr>
          <w:p>
            <w:pPr>
              <w:pStyle w:val="Normal"/>
              <w:tabs>
                <w:tab w:val="clear" w:pos="540"/>
              </w:tabs>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12/22/99</w:t>
            </w:r>
          </w:p>
        </w:tc>
        <w:tc>
          <w:tcPr>
            <w:tcW w:w="1980" w:type="dxa"/>
            <w:tcBorders>
              <w:top w:val="single" w:sz="6" w:space="0" w:color="000000"/>
              <w:start w:val="single" w:sz="6" w:space="0" w:color="000000"/>
              <w:bottom w:val="single" w:sz="6" w:space="0" w:color="000000"/>
              <w:end w:val="single" w:sz="6" w:space="0" w:color="000000"/>
            </w:tcBorders>
          </w:tcPr>
          <w:p>
            <w:pPr>
              <w:pStyle w:val="Normal"/>
              <w:tabs>
                <w:tab w:val="clear" w:pos="540"/>
              </w:tabs>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1/27/00</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tabs>
                <w:tab w:val="clear" w:pos="540"/>
              </w:tabs>
              <w:rPr>
                <w:rFonts w:ascii="Times New Roman" w:hAnsi="Times New Roman" w:eastAsia="Times New Roman" w:cs="Times New Roman"/>
                <w:sz w:val="22"/>
                <w:szCs w:val="22"/>
              </w:rPr>
            </w:pPr>
            <w:r>
              <w:rPr>
                <w:rFonts w:eastAsia="Times New Roman" w:cs="Times New Roman" w:ascii="Times New Roman" w:hAnsi="Times New Roman"/>
                <w:sz w:val="22"/>
                <w:szCs w:val="22"/>
              </w:rPr>
              <w:t>Great Yarmouth Power Limited</w:t>
            </w:r>
          </w:p>
        </w:tc>
        <w:tc>
          <w:tcPr>
            <w:tcW w:w="2340" w:type="dxa"/>
            <w:tcBorders>
              <w:top w:val="single" w:sz="6" w:space="0" w:color="000000"/>
              <w:start w:val="single" w:sz="6" w:space="0" w:color="000000"/>
              <w:bottom w:val="single" w:sz="6" w:space="0" w:color="000000"/>
              <w:end w:val="single" w:sz="6" w:space="0" w:color="000000"/>
            </w:tcBorders>
          </w:tcPr>
          <w:p>
            <w:pPr>
              <w:pStyle w:val="Normal"/>
              <w:tabs>
                <w:tab w:val="clear" w:pos="540"/>
              </w:tabs>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12/13/99</w:t>
            </w:r>
          </w:p>
        </w:tc>
        <w:tc>
          <w:tcPr>
            <w:tcW w:w="1980" w:type="dxa"/>
            <w:tcBorders>
              <w:top w:val="single" w:sz="6" w:space="0" w:color="000000"/>
              <w:start w:val="single" w:sz="6" w:space="0" w:color="000000"/>
              <w:bottom w:val="single" w:sz="6" w:space="0" w:color="000000"/>
              <w:end w:val="single" w:sz="6" w:space="0" w:color="000000"/>
            </w:tcBorders>
          </w:tcPr>
          <w:p>
            <w:pPr>
              <w:pStyle w:val="Normal"/>
              <w:tabs>
                <w:tab w:val="clear" w:pos="540"/>
              </w:tabs>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1/27/00</w:t>
            </w:r>
          </w:p>
        </w:tc>
      </w:tr>
    </w:tbl>
    <w:p>
      <w:pPr>
        <w:pStyle w:val="Normal"/>
        <w:tabs>
          <w:tab w:val="clear" w:pos="540"/>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sectPr>
      <w:footerReference w:type="default" r:id="rId3"/>
      <w:type w:val="nextPage"/>
      <w:pgSz w:w="12240" w:h="15840"/>
      <w:pgMar w:left="1440" w:right="1440" w:gutter="0" w:header="0" w:top="1080" w:footer="360" w:bottom="99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CG Times (WN)">
    <w:charset w:val="01"/>
    <w:family w:val="roman"/>
    <w:pitch w:val="variable"/>
  </w:font>
  <w:font w:name="CG Times (W1)">
    <w:altName w:val="Times New Roman"/>
    <w:charset w:val="01"/>
    <w:family w:val="roman"/>
    <w:pitch w:val="variable"/>
  </w:font>
  <w:font w:name="Times New Roman">
    <w:charset w:val="01"/>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szCs w:val="14"/>
      </w:rPr>
    </w:pPr>
    <w:r>
      <w:rPr>
        <w:sz w:val="14"/>
        <w:szCs w:val="14"/>
      </w:rPr>
      <w:t>Jan-28.doc</w:t>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112395" cy="116205"/>
              <wp:effectExtent l="0" t="0" r="0" b="0"/>
              <wp:wrapSquare wrapText="bothSides"/>
              <wp:docPr id="2" name="Frame1"/>
              <a:graphic xmlns:a="http://schemas.openxmlformats.org/drawingml/2006/main">
                <a:graphicData uri="http://schemas.microsoft.com/office/word/2010/wordprocessingShape">
                  <wps:wsp>
                    <wps:cNvSpPr txBox="1"/>
                    <wps:spPr>
                      <a:xfrm>
                        <a:off x="0" y="0"/>
                        <a:ext cx="112395" cy="116205"/>
                      </a:xfrm>
                      <a:prstGeom prst="rect"/>
                      <a:solidFill>
                        <a:srgbClr val="FFFFFF">
                          <a:alpha val="0"/>
                        </a:srgbClr>
                      </a:solidFill>
                    </wps:spPr>
                    <wps:txbx>
                      <w:txbxContent>
                        <w:p>
                          <w:pPr>
                            <w:pStyle w:val="Footer"/>
                            <w:rPr>
                              <w:rStyle w:val="PageNumber"/>
                              <w:sz w:val="16"/>
                              <w:szCs w:val="16"/>
                            </w:rPr>
                          </w:pP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sz w:val="16"/>
                              <w:szCs w:val="16"/>
                            </w:rPr>
                            <w:t>13</w:t>
                          </w:r>
                          <w:r>
                            <w:rPr>
                              <w:rStyle w:val="PageNumber"/>
                              <w:sz w:val="16"/>
                              <w:szCs w:val="16"/>
                            </w:rPr>
                            <w:fldChar w:fldCharType="end"/>
                          </w:r>
                        </w:p>
                      </w:txbxContent>
                    </wps:txbx>
                    <wps:bodyPr anchor="t" lIns="0" tIns="0" rIns="0" bIns="0">
                      <a:noAutofit/>
                    </wps:bodyPr>
                  </wps:wsp>
                </a:graphicData>
              </a:graphic>
            </wp:anchor>
          </w:drawing>
        </mc:Choice>
        <mc:Fallback>
          <w:pict>
            <v:rect fillcolor="#FFFFFF" style="position:absolute;rotation:-0;width:8.85pt;height:9.15pt;mso-wrap-distance-left:0pt;mso-wrap-distance-right:0pt;mso-wrap-distance-top:0pt;mso-wrap-distance-bottom:0pt;margin-top:0.05pt;mso-position-vertical-relative:text;margin-left:229.6pt;mso-position-horizontal:center;mso-position-horizontal-relative:margin">
              <v:fill opacity="0f"/>
              <v:textbox inset="0in,0in,0in,0in">
                <w:txbxContent>
                  <w:p>
                    <w:pPr>
                      <w:pStyle w:val="Footer"/>
                      <w:rPr>
                        <w:rStyle w:val="PageNumber"/>
                        <w:sz w:val="16"/>
                        <w:szCs w:val="16"/>
                      </w:rPr>
                    </w:pP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sz w:val="16"/>
                        <w:szCs w:val="16"/>
                      </w:rPr>
                      <w:t>13</w:t>
                    </w:r>
                    <w:r>
                      <w:rPr>
                        <w:rStyle w:val="PageNumber"/>
                        <w:sz w:val="16"/>
                        <w:szCs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Arial" w:cs="Arial"/>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qFormat/>
    <w:rPr>
      <w:color w:val="0000FF"/>
      <w:u w:val="single"/>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ListBullet">
    <w:name w:val="List Bullet"/>
    <w:basedOn w:val="Normal"/>
    <w:qFormat/>
    <w:pPr>
      <w:numPr>
        <w:ilvl w:val="0"/>
        <w:numId w:val="2"/>
      </w:numPr>
      <w:ind w:hanging="360" w:start="3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2000-02-14T20:53:00Z</dcterms:created>
  <dc:creator>Jan Butler</dc:creator>
  <dc:description/>
  <dc:language>en-CA</dc:language>
  <cp:lastModifiedBy>Janet Butler</cp:lastModifiedBy>
  <cp:lastPrinted>2000-02-23T17:40:00Z</cp:lastPrinted>
  <dcterms:modified xsi:type="dcterms:W3CDTF">2000-02-23T21:10:00Z</dcterms:modified>
  <cp:revision>59</cp:revision>
  <dc:subject/>
  <dc:title>Weekly Regulatory Report template</dc:title>
</cp:coreProperties>
</file>