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jc w:val="center"/>
        <w:rPr/>
      </w:pPr>
      <w:r>
        <w:rPr/>
        <w:t>Gas Supply Summary</w:t>
      </w:r>
    </w:p>
    <w:p>
      <w:pPr>
        <w:pStyle w:val="Normal"/>
        <w:rPr/>
      </w:pPr>
      <w:r>
        <w:rPr/>
      </w:r>
    </w:p>
    <w:p>
      <w:pPr>
        <w:pStyle w:val="Normal"/>
        <w:rPr/>
      </w:pPr>
      <w:r>
        <w:rPr/>
      </w:r>
    </w:p>
    <w:p>
      <w:pPr>
        <w:pStyle w:val="Normal"/>
        <w:rPr/>
      </w:pPr>
      <w:r>
        <w:rPr>
          <w:b/>
          <w:sz w:val="22"/>
        </w:rPr>
        <w:t>Seller:</w:t>
      </w:r>
      <w:r>
        <w:rPr>
          <w:sz w:val="22"/>
        </w:rPr>
        <w:tab/>
        <w:tab/>
        <w:tab/>
        <w:t>Enron North America (ENA)</w:t>
      </w:r>
    </w:p>
    <w:p>
      <w:pPr>
        <w:pStyle w:val="Normal"/>
        <w:rPr>
          <w:sz w:val="22"/>
        </w:rPr>
      </w:pPr>
      <w:r>
        <w:rPr>
          <w:sz w:val="22"/>
        </w:rPr>
      </w:r>
    </w:p>
    <w:p>
      <w:pPr>
        <w:pStyle w:val="Normal"/>
        <w:rPr/>
      </w:pPr>
      <w:r>
        <w:rPr>
          <w:b/>
          <w:sz w:val="22"/>
        </w:rPr>
        <w:t>Buyer:</w:t>
      </w:r>
      <w:r>
        <w:rPr>
          <w:sz w:val="22"/>
        </w:rPr>
        <w:tab/>
        <w:tab/>
        <w:tab/>
        <w:t>Smurfit Stone Container Corporation. (EPMI)</w:t>
      </w:r>
    </w:p>
    <w:p>
      <w:pPr>
        <w:pStyle w:val="Normal"/>
        <w:rPr>
          <w:sz w:val="22"/>
        </w:rPr>
      </w:pPr>
      <w:r>
        <w:rPr>
          <w:sz w:val="22"/>
        </w:rPr>
      </w:r>
    </w:p>
    <w:p>
      <w:pPr>
        <w:pStyle w:val="Normal"/>
        <w:rPr/>
      </w:pPr>
      <w:r>
        <w:rPr>
          <w:b/>
          <w:sz w:val="22"/>
        </w:rPr>
        <w:t>Term:</w:t>
      </w:r>
      <w:r>
        <w:rPr>
          <w:sz w:val="22"/>
        </w:rPr>
        <w:tab/>
        <w:tab/>
        <w:tab/>
        <w:t>March 1, 2001 – February 28, 2002</w:t>
      </w:r>
    </w:p>
    <w:p>
      <w:pPr>
        <w:pStyle w:val="Normal"/>
        <w:rPr>
          <w:b/>
          <w:sz w:val="22"/>
        </w:rPr>
      </w:pPr>
      <w:r>
        <w:rPr>
          <w:b/>
          <w:sz w:val="22"/>
        </w:rPr>
      </w:r>
    </w:p>
    <w:p>
      <w:pPr>
        <w:pStyle w:val="Normal"/>
        <w:ind w:hanging="360" w:start="360" w:end="0"/>
        <w:rPr/>
      </w:pPr>
      <w:r>
        <w:rPr>
          <w:b/>
          <w:sz w:val="22"/>
        </w:rPr>
        <w:t xml:space="preserve">Delivery Point: </w:t>
        <w:tab/>
      </w:r>
      <w:r>
        <w:rPr>
          <w:sz w:val="22"/>
        </w:rPr>
        <w:t>SoCal Border</w:t>
      </w:r>
    </w:p>
    <w:p>
      <w:pPr>
        <w:pStyle w:val="Normal"/>
        <w:ind w:hanging="360" w:start="360" w:end="0"/>
        <w:rPr>
          <w:sz w:val="22"/>
        </w:rPr>
      </w:pPr>
      <w:r>
        <w:rPr>
          <w:sz w:val="22"/>
        </w:rPr>
      </w:r>
    </w:p>
    <w:p>
      <w:pPr>
        <w:pStyle w:val="Normal"/>
        <w:ind w:hanging="1440" w:start="1440" w:end="0"/>
        <w:rPr/>
      </w:pPr>
      <w:r>
        <w:rPr>
          <w:b/>
          <w:sz w:val="22"/>
        </w:rPr>
        <w:t>Quantity:</w:t>
      </w:r>
      <w:r>
        <w:rPr>
          <w:sz w:val="22"/>
        </w:rPr>
        <w:tab/>
        <w:t xml:space="preserve"> </w:t>
      </w:r>
    </w:p>
    <w:p>
      <w:pPr>
        <w:pStyle w:val="Normal"/>
        <w:tabs>
          <w:tab w:val="left" w:pos="720" w:leader="none"/>
        </w:tabs>
        <w:ind w:hanging="1440" w:start="1440" w:end="0"/>
        <w:rPr>
          <w:b/>
          <w:sz w:val="22"/>
        </w:rPr>
      </w:pPr>
      <w:r>
        <w:rPr>
          <w:sz w:val="22"/>
        </w:rPr>
        <w:tab/>
      </w:r>
    </w:p>
    <w:p>
      <w:pPr>
        <w:pStyle w:val="Normal"/>
        <w:numPr>
          <w:ilvl w:val="0"/>
          <w:numId w:val="3"/>
        </w:numPr>
        <w:rPr>
          <w:sz w:val="22"/>
        </w:rPr>
      </w:pPr>
      <w:r>
        <w:rPr>
          <w:sz w:val="22"/>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3"/>
        </w:numPr>
        <w:rPr>
          <w:sz w:val="22"/>
        </w:rPr>
      </w:pPr>
      <w:r>
        <w:rPr>
          <w:sz w:val="22"/>
        </w:rPr>
        <w:t>Buyer shall pay for the amount of gas transported by Buyer on the SoCalGas system as documented by Buyer’s SoCalGas transportation invoice.</w:t>
      </w:r>
    </w:p>
    <w:p>
      <w:pPr>
        <w:pStyle w:val="Normal"/>
        <w:numPr>
          <w:ilvl w:val="0"/>
          <w:numId w:val="3"/>
        </w:numPr>
        <w:rPr>
          <w:sz w:val="22"/>
        </w:rPr>
      </w:pPr>
      <w:r>
        <w:rPr>
          <w:sz w:val="22"/>
        </w:rPr>
        <w:t xml:space="preserve">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w:t>
      </w:r>
    </w:p>
    <w:p>
      <w:pPr>
        <w:pStyle w:val="Normal"/>
        <w:numPr>
          <w:ilvl w:val="0"/>
          <w:numId w:val="3"/>
        </w:numPr>
        <w:rPr>
          <w:sz w:val="22"/>
        </w:rPr>
      </w:pPr>
      <w:r>
        <w:rPr>
          <w:sz w:val="22"/>
        </w:rPr>
        <w:t>After the start of the Month, if Buyer believes that its usage is higher or lower than the BDQ, beyond the tolerance permitted by SoCalGas at the time, Buyer shall contact Seller to purchase additional supplies from Seller or to sell back a portion of such BDQ to Seller at the fixed price communicated by Seller to Buyer. The Daily Contract Quantity (DCQ) shall be the positive or negative difference between the amount scheduled by the Customer and the BDQ.</w:t>
      </w:r>
    </w:p>
    <w:p>
      <w:pPr>
        <w:pStyle w:val="Normal"/>
        <w:numPr>
          <w:ilvl w:val="0"/>
          <w:numId w:val="3"/>
        </w:numPr>
        <w:rPr>
          <w:sz w:val="22"/>
        </w:rPr>
      </w:pPr>
      <w:r>
        <w:rPr>
          <w:sz w:val="22"/>
        </w:rPr>
        <w:t>If Buyer does not schedule a DCQ, and Seller incurs imbalance penalties from SoCalGas, and such charges would have been incurred has Seller delivered the BLQ, Buyer shall reimburse Seller for such imbalance charges based on the assumption that Seller delivered the BLQ.</w:t>
      </w:r>
    </w:p>
    <w:p>
      <w:pPr>
        <w:pStyle w:val="Normal"/>
        <w:tabs>
          <w:tab w:val="clear" w:pos="720"/>
          <w:tab w:val="left" w:pos="360" w:leader="none"/>
        </w:tabs>
        <w:rPr>
          <w:sz w:val="22"/>
        </w:rPr>
      </w:pPr>
      <w:r>
        <w:rPr>
          <w:sz w:val="22"/>
        </w:rPr>
        <w:tab/>
        <w:tab/>
      </w:r>
    </w:p>
    <w:p>
      <w:pPr>
        <w:pStyle w:val="Normal"/>
        <w:tabs>
          <w:tab w:val="left" w:pos="720" w:leader="none"/>
        </w:tabs>
        <w:ind w:hanging="1440" w:start="1440" w:end="0"/>
        <w:rPr>
          <w:b/>
          <w:sz w:val="22"/>
        </w:rPr>
      </w:pPr>
      <w:r>
        <w:rPr>
          <w:b/>
          <w:sz w:val="22"/>
        </w:rPr>
        <w:t>Price:</w:t>
        <w:tab/>
      </w:r>
    </w:p>
    <w:p>
      <w:pPr>
        <w:pStyle w:val="Normal"/>
        <w:tabs>
          <w:tab w:val="clear" w:pos="720"/>
          <w:tab w:val="left" w:pos="4320" w:leader="none"/>
          <w:tab w:val="left" w:pos="8640" w:leader="none"/>
        </w:tabs>
        <w:ind w:hanging="2880" w:start="3600" w:end="0"/>
        <w:jc w:val="both"/>
        <w:rPr>
          <w:rFonts w:ascii="Arial" w:hAnsi="Arial" w:cs="Arial"/>
          <w:b/>
          <w:sz w:val="22"/>
        </w:rPr>
      </w:pPr>
      <w:r>
        <w:rPr>
          <w:rFonts w:cs="Arial" w:ascii="Arial" w:hAnsi="Arial"/>
          <w:b/>
          <w:sz w:val="22"/>
        </w:rPr>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plus $.05/MMBtu per MMBtu.</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$.00/MMBtu.  If Gas Daily does not publish a range for a particular day, the range reported in the next issue shall be used.</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$.00/MMBtu.  If Gas Daily does not publish a range for a particular day, the range reported in the next issue shall be used.</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higher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plus $.05/MMBtu.  If Buyer’s usage on any Day is higher than the sum of the BDQ and the DCQ, and Seller incurs imbalance penalties from SoCalGas as a result, Buyer shall be responsible for such charges.  </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$.05/MMBtu.  If Buyer’s usage on any Day is lower than the sum of the BDQ and the DCQ, and Seller incurs imbalance penalties from SoCalGas as a result, Buyer shall be responsible for such charges.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b/>
        </w:rPr>
      </w:pPr>
      <w:r>
        <w:rPr>
          <w:rFonts w:cs="Arial" w:ascii="Arial" w:hAnsi="Arial"/>
          <w:b/>
        </w:rPr>
        <w:t>Other:</w:t>
      </w:r>
    </w:p>
    <w:p>
      <w:pPr>
        <w:pStyle w:val="Normal"/>
        <w:tabs>
          <w:tab w:val="clear" w:pos="720"/>
          <w:tab w:val="left" w:pos="4320" w:leader="none"/>
          <w:tab w:val="left" w:pos="8640" w:leader="none"/>
        </w:tabs>
        <w:jc w:val="both"/>
        <w:rPr>
          <w:rFonts w:ascii="Arial" w:hAnsi="Arial" w:cs="Arial"/>
          <w:b/>
        </w:rPr>
      </w:pPr>
      <w:r>
        <w:rPr>
          <w:rFonts w:cs="Arial" w:ascii="Arial" w:hAnsi="Arial"/>
          <w:b/>
        </w:rPr>
      </w:r>
    </w:p>
    <w:p>
      <w:pPr>
        <w:pStyle w:val="Normal"/>
        <w:numPr>
          <w:ilvl w:val="0"/>
          <w:numId w:val="2"/>
        </w:numPr>
        <w:tabs>
          <w:tab w:val="clear" w:pos="720"/>
          <w:tab w:val="left" w:pos="8640" w:leader="none"/>
        </w:tabs>
        <w:jc w:val="both"/>
        <w:rPr>
          <w:rFonts w:ascii="Arial" w:hAnsi="Arial" w:cs="Arial"/>
        </w:rPr>
      </w:pPr>
      <w:r>
        <w:rPr>
          <w:rFonts w:cs="Arial" w:ascii="Arial" w:hAnsi="Arial"/>
        </w:rPr>
        <w:t xml:space="preserve">Seller shall maintain a spreadsheet indicating the BLQ, DCQ, Buyer’s usage and the relevant </w:t>
      </w:r>
      <w:r>
        <w:rPr>
          <w:rFonts w:cs="Arial" w:ascii="Arial" w:hAnsi="Arial"/>
          <w:u w:val="single"/>
        </w:rPr>
        <w:t>Natural Gas Intelligence</w:t>
      </w:r>
      <w:r>
        <w:rPr>
          <w:rFonts w:cs="Arial" w:ascii="Arial" w:hAnsi="Arial"/>
        </w:rPr>
        <w:t xml:space="preserve"> and </w:t>
      </w:r>
      <w:r>
        <w:rPr>
          <w:rFonts w:cs="Arial" w:ascii="Arial" w:hAnsi="Arial"/>
          <w:u w:val="single"/>
        </w:rPr>
        <w:t>Gas Daily</w:t>
      </w:r>
      <w:r>
        <w:rPr>
          <w:rFonts w:cs="Arial" w:ascii="Arial" w:hAnsi="Arial"/>
        </w:rPr>
        <w:t xml:space="preserve"> prices.  This spreadsheet shall be provided to Buyer on a weekly basis.</w:t>
      </w:r>
    </w:p>
    <w:p>
      <w:pPr>
        <w:pStyle w:val="Normal"/>
        <w:numPr>
          <w:ilvl w:val="0"/>
          <w:numId w:val="2"/>
        </w:numPr>
        <w:tabs>
          <w:tab w:val="clear" w:pos="720"/>
          <w:tab w:val="left" w:pos="8640" w:leader="none"/>
        </w:tabs>
        <w:jc w:val="both"/>
        <w:rPr>
          <w:rFonts w:ascii="Arial" w:hAnsi="Arial" w:cs="Arial"/>
        </w:rPr>
      </w:pPr>
      <w:r>
        <w:rPr>
          <w:rFonts w:cs="Arial" w:ascii="Arial" w:hAnsi="Arial"/>
        </w:rPr>
        <w:t>The pricing proposed in this Term Sheet is indicative only and notwithstanding EPMI is not holding the pricing open as a legally binding offer.  EPMI expressly reserves the right to change the pricing in this Term Sheet at any time and shall only be bound to any pricing upon execution of an acceptable definitive agreement on all terms and conditions.</w:t>
      </w:r>
    </w:p>
    <w:p>
      <w:pPr>
        <w:pStyle w:val="Normal"/>
        <w:tabs>
          <w:tab w:val="clear" w:pos="720"/>
          <w:tab w:val="left" w:pos="8640" w:leader="none"/>
        </w:tabs>
        <w:jc w:val="both"/>
        <w:rPr>
          <w:rFonts w:ascii="Arial" w:hAnsi="Arial" w:cs="Arial"/>
        </w:rPr>
      </w:pPr>
      <w:r>
        <w:rPr>
          <w:rFonts w:cs="Arial" w:ascii="Arial" w:hAnsi="Arial"/>
        </w:rPr>
      </w:r>
    </w:p>
    <w:p>
      <w:pPr>
        <w:pStyle w:val="Normal"/>
        <w:tabs>
          <w:tab w:val="clear" w:pos="720"/>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rPr>
      </w:pPr>
      <w:r>
        <w:rPr>
          <w:rFonts w:cs="Arial" w:ascii="Arial" w:hAnsi="Arial"/>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880" w:end="0"/>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sz w:val="22"/>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360" w:start="360" w:end="0"/>
    </w:pPr>
    <w:rPr>
      <w:rFonts w:ascii="Helv" w:hAnsi="Helv" w:cs="Helv"/>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2001-01-22T20:49:00Z</dcterms:created>
  <dc:creator>cfoster</dc:creator>
  <dc:description/>
  <dc:language>en-CA</dc:language>
  <cp:lastModifiedBy>kward</cp:lastModifiedBy>
  <dcterms:modified xsi:type="dcterms:W3CDTF">2001-01-22T20:51:00Z</dcterms:modified>
  <cp:revision>3</cp:revision>
  <dc:subject/>
  <dc:title>Here is the gas deal that we have agreed to with Harbor</dc:title>
</cp:coreProperties>
</file>