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cs="Arial"/>
          <w:sz w:val="20"/>
        </w:rPr>
      </w:pPr>
      <w:r>
        <w:rPr>
          <w:rFonts w:cs="Arial"/>
          <w:sz w:val="20"/>
        </w:rPr>
        <w:t>James Scribner – London Trip</w:t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tbl>
      <w:tblPr>
        <w:tblW w:w="8602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20"/>
        <w:gridCol w:w="2981"/>
        <w:gridCol w:w="4301"/>
      </w:tblGrid>
      <w:tr>
        <w:trPr>
          <w:trHeight w:val="840" w:hRule="atLeast"/>
        </w:trPr>
        <w:tc>
          <w:tcPr>
            <w:tcW w:w="860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Heading1"/>
              <w:spacing w:before="240" w:after="60"/>
              <w:ind w:hanging="0" w:start="0"/>
              <w:jc w:val="center"/>
              <w:rPr/>
            </w:pPr>
            <w:r>
              <w:rPr>
                <w:rFonts w:cs="Arial"/>
                <w:sz w:val="20"/>
              </w:rPr>
              <w:t>Monday 5</w:t>
            </w:r>
            <w:r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February  (5</w:t>
            </w:r>
            <w:r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FLOOR – NE5018)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10.00 – 11.00 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Introduction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</w:t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X34703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(Senior Director –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Head of Risk Management Operations)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11.00 –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GCP</w:t>
            </w:r>
          </w:p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 – GCP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Melissa Allen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- Melissa Allen (Head of Fin-Ops)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12.00 –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13.30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Lunch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Ian Sloman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Bryan Hunter Lindsay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 Holland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Venue to be booked.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(Director – Settlements)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GCP – European Lead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(Manager – Metals)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13.30 –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Global Systems,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MKM, Global Rates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Whitaker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Brian Hudson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Tricia Donnelly</w:t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(Director – Strategic Initiatives Group)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-(Director – IT Front Office)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(Manager - Strategic Initiatives Group)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840" w:hRule="atLeast"/>
        </w:trPr>
        <w:tc>
          <w:tcPr>
            <w:tcW w:w="860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Heading1"/>
              <w:spacing w:before="240" w:after="60"/>
              <w:ind w:hanging="0" w:start="0"/>
              <w:jc w:val="center"/>
              <w:rPr/>
            </w:pPr>
            <w:r>
              <w:rPr>
                <w:rFonts w:cs="Arial"/>
                <w:sz w:val="20"/>
              </w:rPr>
              <w:t>Tuesday 6th February – ( 5</w:t>
            </w:r>
            <w:r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FLOOR – NE5013)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10.00 – 12.00 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GCP Status &amp; plans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 Holland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Ian Sloman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Sam Kemp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Melissa Allen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Bryan Hunter Lindsay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Director - Fin Ops P2P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12.00 –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Working Lunch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Operational Pricing/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Model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New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Whitaker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Sandip Joshi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Gail Hill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Raewyn Perkins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Ian Sloman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Opt: Stephen Wood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Senior Specialist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14.00 –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Follow up with individual cost centre owners and SIG Team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Jordan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New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Whitaker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Sandip Joshi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Gail Hill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Raewyn Perkins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Ian Sloman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Opt: Stephen Wood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Gail Hill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Raewyn Perkins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Ian Sloman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Dinner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Mike Jordan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&amp; Invites </w:t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Venue to be booked</w:t>
            </w:r>
          </w:p>
        </w:tc>
      </w:tr>
      <w:tr>
        <w:trPr>
          <w:trHeight w:val="840" w:hRule="atLeast"/>
        </w:trPr>
        <w:tc>
          <w:tcPr>
            <w:tcW w:w="860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Heading1"/>
              <w:spacing w:before="240" w:after="60"/>
              <w:ind w:hanging="0" w:start="0"/>
              <w:jc w:val="center"/>
              <w:rPr/>
            </w:pPr>
            <w:r>
              <w:rPr>
                <w:rFonts w:cs="Arial"/>
                <w:sz w:val="20"/>
              </w:rPr>
              <w:t>Wednesday 7</w:t>
            </w:r>
            <w:r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 February – (5</w:t>
            </w:r>
            <w:r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FLOOR – (NE5013)</w:t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10.00 – 11.00 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11.00 –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12.00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12.00 –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15.30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16.00 –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17.30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915" w:hRule="atLeast"/>
        </w:trPr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Other invitees – half hour each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 Bromley – (Director - Regulatory Reporting and Control Officer)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Phil Yoxall (Director – Middle Office IT)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Jonathon Bond (Project Manager -Envoice)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David Hardy (Director – RAC Credit)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Hamish Scutt – (Manager - Metals RAC Credit)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1" w:right="1411" w:gutter="0" w:header="0" w:top="288" w:footer="0" w:bottom="3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2001-01-30T12:26:00Z</dcterms:created>
  <dc:creator>CEllis</dc:creator>
  <dc:description/>
  <dc:language>en-CA</dc:language>
  <cp:lastModifiedBy>fmcnaugh</cp:lastModifiedBy>
  <cp:lastPrinted>2001-01-31T09:40:00Z</cp:lastPrinted>
  <dcterms:modified xsi:type="dcterms:W3CDTF">2001-01-31T13:05:00Z</dcterms:modified>
  <cp:revision>6</cp:revision>
  <dc:subject/>
  <dc:title>Travel Bookings :</dc:title>
</cp:coreProperties>
</file>