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November 8, 1999</w:t>
      </w:r>
    </w:p>
    <w:p>
      <w:pPr>
        <w:pStyle w:val="Normal"/>
        <w:widowControl/>
        <w:rPr>
          <w:sz w:val="22"/>
          <w:u w:val="single"/>
        </w:rPr>
      </w:pPr>
      <w:r>
        <w:rPr>
          <w:sz w:val="22"/>
          <w:u w:val="single"/>
        </w:rPr>
      </w:r>
    </w:p>
    <w:p>
      <w:pPr>
        <w:pStyle w:val="Normal"/>
        <w:widowControl/>
        <w:ind w:firstLine="720" w:end="0"/>
        <w:rPr>
          <w:sz w:val="22"/>
        </w:rPr>
      </w:pPr>
      <w:r>
        <w:rPr>
          <w:sz w:val="22"/>
        </w:rPr>
        <w:t>To:</w:t>
        <w:tab/>
        <w:tab/>
        <w:tab/>
        <w:tab/>
        <w:t>James Hardie N.V. (“Party B”)</w:t>
      </w:r>
    </w:p>
    <w:p>
      <w:pPr>
        <w:pStyle w:val="Normal"/>
        <w:widowControl/>
        <w:rPr>
          <w:sz w:val="22"/>
        </w:rPr>
      </w:pPr>
      <w:r>
        <w:rPr>
          <w:sz w:val="22"/>
        </w:rPr>
      </w:r>
    </w:p>
    <w:p>
      <w:pPr>
        <w:pStyle w:val="Normal"/>
        <w:widowControl/>
        <w:ind w:firstLine="720" w:end="0"/>
        <w:rPr>
          <w:sz w:val="22"/>
        </w:rPr>
      </w:pPr>
      <w:r>
        <w:rPr>
          <w:sz w:val="22"/>
        </w:rPr>
        <w:t xml:space="preserve">Attention: </w:t>
        <w:tab/>
        <w:tab/>
        <w:tab/>
        <w:t>Bryon Borgardt</w:t>
      </w:r>
    </w:p>
    <w:p>
      <w:pPr>
        <w:pStyle w:val="Normal"/>
        <w:widowControl/>
        <w:rPr>
          <w:sz w:val="22"/>
        </w:rPr>
      </w:pPr>
      <w:r>
        <w:rPr>
          <w:sz w:val="22"/>
        </w:rPr>
      </w:r>
    </w:p>
    <w:p>
      <w:pPr>
        <w:pStyle w:val="Normal"/>
        <w:widowControl/>
        <w:ind w:firstLine="720" w:end="0"/>
        <w:rPr>
          <w:sz w:val="22"/>
        </w:rPr>
      </w:pPr>
      <w:r>
        <w:rPr>
          <w:sz w:val="22"/>
        </w:rPr>
        <w:t>Fax Number:</w:t>
        <w:tab/>
        <w:tab/>
        <w:tab/>
        <w:t>(949) 348-1294</w:t>
      </w:r>
    </w:p>
    <w:p>
      <w:pPr>
        <w:pStyle w:val="Normal"/>
        <w:widowControl/>
        <w:rPr>
          <w:sz w:val="22"/>
        </w:rPr>
      </w:pPr>
      <w:r>
        <w:rPr>
          <w:sz w:val="22"/>
        </w:rPr>
      </w:r>
    </w:p>
    <w:p>
      <w:pPr>
        <w:pStyle w:val="Normal"/>
        <w:widowControl/>
        <w:ind w:firstLine="720" w:end="0"/>
        <w:rPr>
          <w:sz w:val="22"/>
        </w:rPr>
      </w:pPr>
      <w:r>
        <w:rPr>
          <w:sz w:val="22"/>
        </w:rPr>
        <w:t>From:</w:t>
        <w:tab/>
        <w:tab/>
        <w:tab/>
        <w:tab/>
        <w:t>Enron North America Corp. (“Party A”)</w:t>
      </w:r>
    </w:p>
    <w:p>
      <w:pPr>
        <w:pStyle w:val="Normal"/>
        <w:widowControl/>
        <w:rPr>
          <w:sz w:val="22"/>
        </w:rPr>
      </w:pPr>
      <w:r>
        <w:rPr>
          <w:sz w:val="22"/>
        </w:rPr>
      </w:r>
    </w:p>
    <w:p>
      <w:pPr>
        <w:pStyle w:val="Normal"/>
        <w:widowControl/>
        <w:ind w:firstLine="720" w:end="0"/>
        <w:rPr>
          <w:sz w:val="22"/>
        </w:rPr>
      </w:pPr>
      <w:r>
        <w:rPr>
          <w:sz w:val="22"/>
        </w:rPr>
        <w:t>Re:</w:t>
        <w:tab/>
        <w:tab/>
        <w:tab/>
        <w:tab/>
        <w:t>Commodity Swap, ENA Deal No. N41008.1</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an ISDA Master Agreement,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600,000 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5,000 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Northern Bleached Softwood Kraft (“NBSK”)</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November 8,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February 1, 2000</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January 31, 2010</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pPr>
            <w:r>
              <w:rPr>
                <w:color w:val="000000"/>
                <w:sz w:val="22"/>
              </w:rPr>
              <w:t xml:space="preserve">Monthly periods, with the first Calculation Period commencing on </w:t>
            </w:r>
            <w:r>
              <w:rPr>
                <w:sz w:val="22"/>
              </w:rPr>
              <w:t>February 1, 2000</w:t>
            </w:r>
            <w:r>
              <w:rPr>
                <w:color w:val="000000"/>
                <w:sz w:val="22"/>
              </w:rPr>
              <w:t xml:space="preserve"> and the final Calculation Period ending on </w:t>
            </w:r>
            <w:r>
              <w:rPr>
                <w:sz w:val="22"/>
              </w:rPr>
              <w:t>January 31, 2010</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$570.00 per Metric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 xml:space="preserve">The Floating Price for each Calculation Period shall be the price per Metric Ton of Northern Bleached Softwood Kraft, stated in U.S. Dollars, delivered in the Northern U.S., published under the headings “Table 5: Market Pulp Price Summary:  U.S. Dollars Per Metric Ton, Transaction Prices:  Delivered to United States:  Northern: Bl. Softwood Kraft” in the issue of </w:t>
            </w:r>
            <w:r>
              <w:rPr>
                <w:sz w:val="22"/>
                <w:u w:val="single"/>
              </w:rPr>
              <w:t>World Pulp Monthly</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World Pulp Monthly</w:t>
            </w:r>
            <w:r>
              <w:rPr>
                <w:sz w:val="22"/>
              </w:rPr>
              <w:t>, or any successor publication, published by Resource Information Systems, Inc. or its successor (such publication, “</w:t>
            </w:r>
            <w:r>
              <w:rPr>
                <w:sz w:val="22"/>
                <w:u w:val="single"/>
              </w:rPr>
              <w:t>Publication</w:t>
            </w:r>
            <w:r>
              <w:rPr>
                <w:sz w:val="22"/>
              </w:rPr>
              <w:t xml:space="preserve">”) for the applicable Calculation Period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an amount equal to the sum of (a) the price per Metric Tons of Northern Bleached Softwood Kraft, stated in U.S. Dollars, delivered in the Eastern U.S., published under the heading: “Price Watch: Market Pulp: Grade: U.S. (delivered in East): Bleached softwood kraft: Northern (Canadian)” in the issue of </w:t>
            </w:r>
            <w:r>
              <w:rPr>
                <w:sz w:val="22"/>
                <w:u w:val="single"/>
              </w:rPr>
              <w:t>Pulp &amp; Paper Week</w:t>
            </w:r>
            <w:r>
              <w:rPr>
                <w:sz w:val="22"/>
              </w:rPr>
              <w:t xml:space="preserve"> (or its successor publication, as published by Miller Freeman Inc., or its successor) that reports prices effective for such Calculation Period and (b) an amount (which may be negative) equal to the difference between (i) the average of the prices per Northern Bleached Softwood Kraft as determined in accordance with the definition of ‘Floating Price’ above for each month in which such price is available for the twelve calendar months immediately preceding the relevant Calculation Period and (ii) the average of the prices per Northern Bleached Softwood Kraft as determined in accordance with subsection (a) above for each month in which such price is available for the twelve calendar months immediately preceding the relevant Calculation Period.</w:t>
            </w:r>
          </w:p>
          <w:p>
            <w:pPr>
              <w:pStyle w:val="Normal"/>
              <w:widowControl/>
              <w:jc w:val="both"/>
              <w:rPr>
                <w:sz w:val="22"/>
              </w:rPr>
            </w:pPr>
            <w:r>
              <w:rPr>
                <w:sz w:val="22"/>
              </w:rPr>
            </w:r>
          </w:p>
        </w:tc>
      </w:tr>
      <w:tr>
        <w:trPr/>
        <w:tc>
          <w:tcPr>
            <w:tcW w:w="4788" w:type="dxa"/>
            <w:tcBorders/>
          </w:tcPr>
          <w:p>
            <w:pPr>
              <w:pStyle w:val="Normal"/>
              <w:widowControl/>
              <w:jc w:val="both"/>
              <w:rPr>
                <w:b/>
                <w:sz w:val="22"/>
                <w:u w:val="single"/>
              </w:rPr>
            </w:pPr>
            <w:r>
              <w:rPr>
                <w:b/>
                <w:sz w:val="22"/>
                <w:u w:val="single"/>
              </w:rPr>
              <w:t>Automatic Termination Provision:</w:t>
            </w:r>
          </w:p>
        </w:tc>
        <w:tc>
          <w:tcPr>
            <w:tcW w:w="4788" w:type="dxa"/>
            <w:tcBorders/>
          </w:tcPr>
          <w:p>
            <w:pPr>
              <w:pStyle w:val="Normal"/>
              <w:widowControl/>
              <w:jc w:val="both"/>
              <w:rPr>
                <w:sz w:val="22"/>
              </w:rPr>
            </w:pPr>
            <w:r>
              <w:rPr>
                <w:spacing w:val="-4"/>
                <w:sz w:val="22"/>
              </w:rPr>
              <w:t xml:space="preserve">The parties hereto agree that on </w:t>
            </w:r>
            <w:r>
              <w:rPr>
                <w:b/>
                <w:color w:val="FF0000"/>
                <w:spacing w:val="-4"/>
                <w:sz w:val="22"/>
              </w:rPr>
              <w:t>January 31, 2000</w:t>
            </w:r>
            <w:r>
              <w:rPr>
                <w:color w:val="FF0000"/>
                <w:spacing w:val="-4"/>
                <w:sz w:val="22"/>
              </w:rPr>
              <w:t xml:space="preserve"> (the “Automatic Termination Date”)</w:t>
            </w:r>
            <w:r>
              <w:rPr>
                <w:b/>
                <w:color w:val="FF0000"/>
                <w:spacing w:val="-4"/>
                <w:sz w:val="22"/>
              </w:rPr>
              <w:t xml:space="preserve"> </w:t>
            </w:r>
            <w:r>
              <w:rPr>
                <w:spacing w:val="-4"/>
                <w:sz w:val="22"/>
              </w:rPr>
              <w:t xml:space="preserve">this Transaction shall terminate on such date without further action or payment required by either party; </w:t>
            </w:r>
            <w:r>
              <w:rPr>
                <w:spacing w:val="-4"/>
                <w:sz w:val="22"/>
                <w:u w:val="single"/>
              </w:rPr>
              <w:t>provided</w:t>
            </w:r>
            <w:r>
              <w:rPr>
                <w:spacing w:val="-4"/>
                <w:sz w:val="22"/>
              </w:rPr>
              <w:t xml:space="preserve">, however, on any Business Day from and including the Trade Date to and including the Automatic Termination Date, Party A may, by giving telephonic notice to Party B no later than 5:00 p.m. (CST) on such day (the “Notice Date”) designate that this Automatic Termination Provision shall not apply to this Transaction, </w:t>
            </w:r>
            <w:r>
              <w:rPr>
                <w:spacing w:val="-4"/>
                <w:sz w:val="22"/>
                <w:u w:val="single"/>
              </w:rPr>
              <w:t>provided further</w:t>
            </w:r>
            <w:r>
              <w:rPr>
                <w:spacing w:val="-4"/>
                <w:sz w:val="22"/>
              </w:rPr>
              <w:t>, however, that such notice may only be delivered by Party A if (i) on or before the Automatic Termination Date, Counterparty and ENA shall execute an ISDA Master Agreement and ISDA Credit Support Annex (the “Master Agreement”).</w:t>
            </w:r>
            <w:r>
              <w:rPr>
                <w:spacing w:val="-4"/>
                <w:sz w:val="22"/>
                <w:lang w:eastAsia="en-US"/>
              </w:rPr>
              <w:t xml:space="preserve"> </w:t>
            </w:r>
            <w:r>
              <w:rPr>
                <w:spacing w:val="-4"/>
                <w:sz w:val="22"/>
              </w:rPr>
              <w:t>Party A shall execute a written confirmation (including by facsimile transmission) confirming the substance of such telephonic notice and deliver same to Party B one Business Day following the Notice Date, provided however, that failure to deliver such written confirmation within the specified time period shall in no way affect or suspend the validity of the telephonic notice.</w:t>
            </w:r>
          </w:p>
        </w:tc>
      </w:tr>
      <w:tr>
        <w:trPr/>
        <w:tc>
          <w:tcPr>
            <w:tcW w:w="4788" w:type="dxa"/>
            <w:tcBorders/>
          </w:tcPr>
          <w:p>
            <w:pPr>
              <w:pStyle w:val="Normal"/>
              <w:widowControl/>
              <w:snapToGrid w:val="false"/>
              <w:jc w:val="both"/>
              <w:rPr>
                <w:b/>
                <w:sz w:val="22"/>
                <w:u w:val="single"/>
              </w:rPr>
            </w:pPr>
            <w:r>
              <w:rPr>
                <w:b/>
                <w:sz w:val="22"/>
                <w:u w:val="single"/>
              </w:rPr>
            </w:r>
          </w:p>
        </w:tc>
        <w:tc>
          <w:tcPr>
            <w:tcW w:w="4788" w:type="dxa"/>
            <w:tcBorders/>
          </w:tcPr>
          <w:p>
            <w:pPr>
              <w:pStyle w:val="Normal"/>
              <w:snapToGrid w:val="false"/>
              <w:jc w:val="both"/>
              <w:rPr>
                <w:b/>
                <w:spacing w:val="-4"/>
                <w:sz w:val="22"/>
                <w:u w:val="single"/>
              </w:rPr>
            </w:pPr>
            <w:r>
              <w:rPr>
                <w:b/>
                <w:spacing w:val="-4"/>
                <w:sz w:val="22"/>
                <w:u w:val="single"/>
              </w:rPr>
            </w:r>
          </w:p>
        </w:tc>
      </w:tr>
    </w:tbl>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James Hardie N.V.</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__________________________</w:t>
        <w:tab/>
        <w:tab/>
        <w:t>By:  _________________________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350" w:footer="720" w:bottom="126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Deal No. N41008.1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1999-11-09T21:10:00Z</dcterms:created>
  <dc:creator>Enron</dc:creator>
  <dc:description/>
  <dc:language>en-CA</dc:language>
  <cp:lastModifiedBy>jcyprow</cp:lastModifiedBy>
  <cp:lastPrinted>1999-11-09T17:57:00Z</cp:lastPrinted>
  <dcterms:modified xsi:type="dcterms:W3CDTF">1999-11-09T21:42:00Z</dcterms:modified>
  <cp:revision>6</cp:revision>
  <dc:subject/>
  <dc:title>[ECT LETTERHEAD]</dc:title>
</cp:coreProperties>
</file>