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center" w:pos="4320" w:leader="none"/>
        </w:tabs>
        <w:spacing w:before="0" w:after="0"/>
        <w:rPr/>
      </w:pPr>
      <w:r>
        <w:rPr/>
        <w:t>UNITED STATES OF AMERICA</w:t>
      </w:r>
    </w:p>
    <w:p>
      <w:pPr>
        <w:pStyle w:val="Normal"/>
        <w:tabs>
          <w:tab w:val="clear" w:pos="720"/>
          <w:tab w:val="center" w:pos="4320" w:leader="none"/>
        </w:tabs>
        <w:spacing w:before="0" w:after="0"/>
        <w:jc w:val="center"/>
        <w:rPr>
          <w:b/>
        </w:rPr>
      </w:pPr>
      <w:r>
        <w:rPr>
          <w:b/>
        </w:rPr>
        <w:t>BEFORE THE</w:t>
      </w:r>
    </w:p>
    <w:p>
      <w:pPr>
        <w:pStyle w:val="Normal"/>
        <w:tabs>
          <w:tab w:val="clear" w:pos="720"/>
          <w:tab w:val="center" w:pos="4320" w:leader="none"/>
        </w:tabs>
        <w:spacing w:before="0" w:after="0"/>
        <w:jc w:val="center"/>
        <w:rPr>
          <w:b/>
        </w:rPr>
      </w:pPr>
      <w:r>
        <w:rPr>
          <w:b/>
        </w:rPr>
        <w:t>FEDERAL ENERGY REGULATORY COMMISSION</w:t>
      </w:r>
    </w:p>
    <w:p>
      <w:pPr>
        <w:pStyle w:val="Normal"/>
        <w:tabs>
          <w:tab w:val="clear" w:pos="720"/>
          <w:tab w:val="center" w:pos="4320" w:leader="none"/>
        </w:tabs>
        <w:spacing w:before="0" w:after="0"/>
        <w:jc w:val="center"/>
        <w:rPr>
          <w:b/>
        </w:rPr>
      </w:pPr>
      <w:r>
        <w:rPr>
          <w:b/>
        </w:rPr>
      </w:r>
    </w:p>
    <w:p>
      <w:pPr>
        <w:pStyle w:val="Normal"/>
        <w:tabs>
          <w:tab w:val="clear" w:pos="720"/>
          <w:tab w:val="center" w:pos="-180" w:leader="none"/>
        </w:tabs>
        <w:spacing w:before="0" w:after="0"/>
        <w:rPr/>
      </w:pPr>
      <w:r>
        <w:rPr/>
        <w:t>San Diego Gas &amp; Electric Company,</w:t>
        <w:tab/>
        <w:tab/>
        <w:t>)</w:t>
      </w:r>
    </w:p>
    <w:p>
      <w:pPr>
        <w:pStyle w:val="Normal"/>
        <w:tabs>
          <w:tab w:val="clear" w:pos="720"/>
          <w:tab w:val="center" w:pos="-180" w:leader="none"/>
        </w:tabs>
        <w:spacing w:before="0" w:after="0"/>
        <w:rPr/>
      </w:pPr>
      <w:r>
        <w:rPr/>
        <w:tab/>
        <w:tab/>
        <w:t>Complainant,</w:t>
        <w:tab/>
        <w:tab/>
        <w:tab/>
        <w:t>)</w:t>
      </w:r>
    </w:p>
    <w:p>
      <w:pPr>
        <w:pStyle w:val="Normal"/>
        <w:tabs>
          <w:tab w:val="clear" w:pos="720"/>
          <w:tab w:val="center" w:pos="-180" w:leader="none"/>
        </w:tabs>
        <w:spacing w:before="0" w:after="0"/>
        <w:rPr/>
      </w:pPr>
      <w:r>
        <w:rPr/>
        <w:tab/>
        <w:tab/>
        <w:tab/>
        <w:tab/>
        <w:tab/>
        <w:tab/>
        <w:t>)</w:t>
      </w:r>
    </w:p>
    <w:p>
      <w:pPr>
        <w:pStyle w:val="Normal"/>
        <w:tabs>
          <w:tab w:val="clear" w:pos="720"/>
          <w:tab w:val="center" w:pos="-180" w:leader="none"/>
        </w:tabs>
        <w:spacing w:before="0" w:after="0"/>
        <w:rPr/>
      </w:pPr>
      <w:r>
        <w:rPr/>
        <w:tab/>
        <w:t>v.</w:t>
        <w:tab/>
        <w:tab/>
        <w:tab/>
        <w:tab/>
        <w:tab/>
        <w:t>)</w:t>
        <w:tab/>
        <w:t>Docket No. EL00-95-045</w:t>
      </w:r>
    </w:p>
    <w:p>
      <w:pPr>
        <w:pStyle w:val="Normal"/>
        <w:tabs>
          <w:tab w:val="clear" w:pos="720"/>
          <w:tab w:val="center" w:pos="-180" w:leader="none"/>
        </w:tabs>
        <w:spacing w:before="0" w:after="0"/>
        <w:rPr/>
      </w:pPr>
      <w:r>
        <w:rPr/>
        <w:tab/>
        <w:tab/>
        <w:tab/>
        <w:tab/>
        <w:tab/>
        <w:tab/>
        <w:t>)</w:t>
      </w:r>
    </w:p>
    <w:p>
      <w:pPr>
        <w:pStyle w:val="Normal"/>
        <w:tabs>
          <w:tab w:val="clear" w:pos="720"/>
          <w:tab w:val="center" w:pos="-180" w:leader="none"/>
        </w:tabs>
        <w:spacing w:before="0" w:after="0"/>
        <w:rPr/>
      </w:pPr>
      <w:r>
        <w:rPr/>
        <w:t>Sellers of Energy and Ancillary Service</w:t>
        <w:tab/>
        <w:t>)</w:t>
      </w:r>
    </w:p>
    <w:p>
      <w:pPr>
        <w:pStyle w:val="Normal"/>
        <w:tabs>
          <w:tab w:val="clear" w:pos="720"/>
          <w:tab w:val="center" w:pos="-180" w:leader="none"/>
        </w:tabs>
        <w:spacing w:before="0" w:after="0"/>
        <w:rPr/>
      </w:pPr>
      <w:r>
        <w:rPr/>
        <w:t>Into Markets Operated by the California</w:t>
        <w:tab/>
        <w:t>)</w:t>
      </w:r>
    </w:p>
    <w:p>
      <w:pPr>
        <w:pStyle w:val="Normal"/>
        <w:tabs>
          <w:tab w:val="clear" w:pos="720"/>
          <w:tab w:val="center" w:pos="-180" w:leader="none"/>
        </w:tabs>
        <w:spacing w:before="0" w:after="0"/>
        <w:rPr/>
      </w:pPr>
      <w:r>
        <w:rPr/>
        <w:t>Independent System Operator Corporation</w:t>
        <w:tab/>
        <w:t>)</w:t>
      </w:r>
    </w:p>
    <w:p>
      <w:pPr>
        <w:pStyle w:val="Normal"/>
        <w:tabs>
          <w:tab w:val="clear" w:pos="720"/>
          <w:tab w:val="center" w:pos="-180" w:leader="none"/>
        </w:tabs>
        <w:spacing w:before="0" w:after="0"/>
        <w:rPr/>
      </w:pPr>
      <w:r>
        <w:rPr/>
        <w:t>and the California Power Exchange,</w:t>
        <w:tab/>
        <w:tab/>
        <w:t>)</w:t>
      </w:r>
    </w:p>
    <w:p>
      <w:pPr>
        <w:pStyle w:val="Normal"/>
        <w:tabs>
          <w:tab w:val="clear" w:pos="720"/>
          <w:tab w:val="center" w:pos="-180" w:leader="none"/>
        </w:tabs>
        <w:spacing w:before="0" w:after="0"/>
        <w:rPr/>
      </w:pPr>
      <w:r>
        <w:rPr/>
        <w:tab/>
        <w:tab/>
        <w:t>Respondents.</w:t>
        <w:tab/>
        <w:tab/>
        <w:tab/>
        <w:t>)</w:t>
      </w:r>
    </w:p>
    <w:p>
      <w:pPr>
        <w:pStyle w:val="Normal"/>
        <w:tabs>
          <w:tab w:val="clear" w:pos="720"/>
          <w:tab w:val="center" w:pos="-180" w:leader="none"/>
        </w:tabs>
        <w:spacing w:before="0" w:after="0"/>
        <w:rPr/>
      </w:pPr>
      <w:r>
        <w:rPr/>
        <w:tab/>
        <w:tab/>
        <w:tab/>
        <w:tab/>
        <w:tab/>
        <w:tab/>
      </w:r>
    </w:p>
    <w:p>
      <w:pPr>
        <w:pStyle w:val="Normal"/>
        <w:tabs>
          <w:tab w:val="clear" w:pos="720"/>
          <w:tab w:val="center" w:pos="-180" w:leader="none"/>
        </w:tabs>
        <w:spacing w:before="0" w:after="0"/>
        <w:rPr/>
      </w:pPr>
      <w:r>
        <w:rPr/>
        <w:t>Investigation of Practices of the</w:t>
        <w:tab/>
        <w:tab/>
        <w:t>)</w:t>
      </w:r>
    </w:p>
    <w:p>
      <w:pPr>
        <w:pStyle w:val="Normal"/>
        <w:tabs>
          <w:tab w:val="clear" w:pos="720"/>
          <w:tab w:val="center" w:pos="-180" w:leader="none"/>
        </w:tabs>
        <w:spacing w:before="0" w:after="0"/>
        <w:rPr/>
      </w:pPr>
      <w:r>
        <w:rPr/>
        <w:t>California Independent System Operator</w:t>
        <w:tab/>
        <w:t>)</w:t>
        <w:tab/>
        <w:t>Docket No. EL00-98-042</w:t>
      </w:r>
    </w:p>
    <w:p>
      <w:pPr>
        <w:pStyle w:val="Normal"/>
        <w:tabs>
          <w:tab w:val="clear" w:pos="720"/>
          <w:tab w:val="center" w:pos="-180" w:leader="none"/>
        </w:tabs>
        <w:spacing w:before="0" w:after="0"/>
        <w:rPr/>
      </w:pPr>
      <w:r>
        <w:rPr/>
        <w:t>and the California Power Exchange</w:t>
        <w:tab/>
        <w:tab/>
        <w:t>)</w:t>
      </w:r>
    </w:p>
    <w:p>
      <w:pPr>
        <w:pStyle w:val="Normal"/>
        <w:tabs>
          <w:tab w:val="clear" w:pos="720"/>
          <w:tab w:val="center" w:pos="-180" w:leader="none"/>
        </w:tabs>
        <w:spacing w:before="0" w:after="0"/>
        <w:rPr/>
      </w:pPr>
      <w:r>
        <w:rPr/>
        <w:br/>
      </w:r>
    </w:p>
    <w:p>
      <w:pPr>
        <w:pStyle w:val="Normal"/>
        <w:tabs>
          <w:tab w:val="clear" w:pos="720"/>
          <w:tab w:val="center" w:pos="-180" w:leader="none"/>
        </w:tabs>
        <w:spacing w:before="0" w:after="0"/>
        <w:jc w:val="center"/>
        <w:rPr>
          <w:b/>
        </w:rPr>
      </w:pPr>
      <w:r>
        <w:rPr>
          <w:b/>
        </w:rPr>
        <w:t>RESPONSIVE TESTIMONY ON ISSUE 1 OF BLAIR JACKSON</w:t>
      </w:r>
    </w:p>
    <w:p>
      <w:pPr>
        <w:pStyle w:val="Normal"/>
        <w:tabs>
          <w:tab w:val="clear" w:pos="720"/>
          <w:tab w:val="center" w:pos="-180" w:leader="none"/>
        </w:tabs>
        <w:spacing w:before="0" w:after="0"/>
        <w:jc w:val="center"/>
        <w:rPr>
          <w:b/>
        </w:rPr>
      </w:pPr>
      <w:r>
        <w:rPr>
          <w:b/>
        </w:rPr>
        <w:t>ON BEHALF OF THE</w:t>
      </w:r>
    </w:p>
    <w:p>
      <w:pPr>
        <w:pStyle w:val="Normal"/>
        <w:tabs>
          <w:tab w:val="clear" w:pos="720"/>
          <w:tab w:val="center" w:pos="-180" w:leader="none"/>
        </w:tabs>
        <w:jc w:val="center"/>
        <w:rPr>
          <w:b/>
        </w:rPr>
      </w:pPr>
      <w:r>
        <w:rPr>
          <w:b/>
        </w:rPr>
        <w:t>MODESTO IRRIGATION DISTRICT</w:t>
      </w:r>
    </w:p>
    <w:p>
      <w:pPr>
        <w:pStyle w:val="Normal"/>
        <w:tabs>
          <w:tab w:val="clear" w:pos="720"/>
          <w:tab w:val="center" w:pos="-180" w:leader="none"/>
        </w:tabs>
        <w:jc w:val="center"/>
        <w:rPr>
          <w:b/>
        </w:rPr>
      </w:pPr>
      <w:r>
        <w:rPr>
          <w:b/>
        </w:rPr>
      </w:r>
    </w:p>
    <w:p>
      <w:pPr>
        <w:pStyle w:val="Q"/>
        <w:numPr>
          <w:ilvl w:val="0"/>
          <w:numId w:val="2"/>
        </w:numPr>
        <w:spacing w:lineRule="auto" w:line="480" w:before="0" w:after="0"/>
        <w:jc w:val="start"/>
        <w:rPr/>
      </w:pPr>
      <w:r>
        <w:rPr/>
        <w:t>Please state your name, business address and scope of employment.</w:t>
      </w:r>
    </w:p>
    <w:p>
      <w:pPr>
        <w:pStyle w:val="A"/>
        <w:numPr>
          <w:ilvl w:val="0"/>
          <w:numId w:val="3"/>
        </w:numPr>
        <w:spacing w:lineRule="auto" w:line="480" w:before="0" w:after="0"/>
        <w:jc w:val="start"/>
        <w:rPr/>
      </w:pPr>
      <w:r>
        <w:rPr/>
        <w:t>My name is Blair Jackson.  I am employed by the Modesto Irrigation District (“MID”), 1231 Eleventh Street, Modesto, California 95354.  I am Electric Resources Scheduling and Coordinator Manager for the Modesto Irrigation District (“MID”).</w:t>
      </w:r>
    </w:p>
    <w:p>
      <w:pPr>
        <w:pStyle w:val="A"/>
        <w:numPr>
          <w:ilvl w:val="0"/>
          <w:numId w:val="0"/>
        </w:numPr>
        <w:spacing w:lineRule="auto" w:line="480" w:before="0" w:after="0"/>
        <w:ind w:hanging="0" w:start="0"/>
        <w:jc w:val="start"/>
        <w:rPr/>
      </w:pPr>
      <w:r>
        <w:rPr/>
        <w:t>Q.2.</w:t>
        <w:tab/>
        <w:t>Please describe your business experience.</w:t>
      </w:r>
    </w:p>
    <w:p>
      <w:pPr>
        <w:pStyle w:val="A"/>
        <w:numPr>
          <w:ilvl w:val="0"/>
          <w:numId w:val="0"/>
        </w:numPr>
        <w:spacing w:lineRule="auto" w:line="480" w:before="0" w:after="0"/>
        <w:ind w:hanging="720" w:start="720" w:end="0"/>
        <w:jc w:val="start"/>
        <w:rPr/>
      </w:pPr>
      <w:r>
        <w:rPr/>
        <w:t>A.2.</w:t>
        <w:tab/>
        <w:t>I graduated from the University of California, Santa Barbara, with a Bachelor of Arts Degree in Economics, in 1987.  From 1985 to 1987, I worked at an electronic manufacturing company in the purchasing department as material planner and documentation control.  I began work at MID on July 1, 1987 as an Engineering Technician under the Dispatching Supervisor.  After MID ended its full requirement contract with PG&amp;E and began scheduling real time for itself on April 1, 1988, my job title was changed to Power Scheduling Technician in 1989.  The position was responsible for interpreting and economically administering MID agreements for the purchase, sale, and/or transmission of energy to meet MID load and contractual requirements.  I was promoted to Power Scheduling Supervisor in 1992 and became the Operating Representative for MID to the Western System Power Pool.  During my years as supervisor, MID was engaged in development of power supply assets, including local generation, power supply contracts, natural gas contracts, transmission contracts, and joint power agency contracts.  I was promoted to Scheduling and Coordinator Manager in 1997.  My department’s function is to provide MID with the capability to operate under the California Independent System Operator Corporation (“CAISO”), California Power Exchange (“PX”), and Automated Power Exchange (“APX”) tariffs and rules.</w:t>
      </w:r>
    </w:p>
    <w:p>
      <w:pPr>
        <w:pStyle w:val="A"/>
        <w:numPr>
          <w:ilvl w:val="0"/>
          <w:numId w:val="0"/>
        </w:numPr>
        <w:spacing w:lineRule="auto" w:line="480" w:before="0" w:after="0"/>
        <w:ind w:hanging="720" w:start="720" w:end="0"/>
        <w:jc w:val="start"/>
        <w:rPr/>
      </w:pPr>
      <w:r>
        <w:rPr/>
        <w:t>Q.3.</w:t>
        <w:tab/>
        <w:t xml:space="preserve">What is the purpose of your Responsive Testimony in this first stage </w:t>
      </w:r>
    </w:p>
    <w:p>
      <w:pPr>
        <w:pStyle w:val="A"/>
        <w:numPr>
          <w:ilvl w:val="0"/>
          <w:numId w:val="0"/>
        </w:numPr>
        <w:spacing w:lineRule="auto" w:line="480" w:before="0" w:after="0"/>
        <w:ind w:hanging="720" w:start="720" w:end="0"/>
        <w:jc w:val="start"/>
        <w:rPr/>
      </w:pPr>
      <w:r>
        <w:rPr/>
        <w:tab/>
        <w:t>(Issue 1) of this proceeding?</w:t>
      </w:r>
    </w:p>
    <w:p>
      <w:pPr>
        <w:pStyle w:val="A"/>
        <w:numPr>
          <w:ilvl w:val="0"/>
          <w:numId w:val="0"/>
        </w:numPr>
        <w:spacing w:lineRule="auto" w:line="480" w:before="0" w:after="0"/>
        <w:ind w:hanging="720" w:start="720" w:end="0"/>
        <w:jc w:val="start"/>
        <w:rPr/>
      </w:pPr>
      <w:r>
        <w:rPr/>
        <w:t>A.3.</w:t>
        <w:tab/>
        <w:t>I address certain factors and data that influenced the CAISO’s calculation of the Mitigated Market Clearing Price.</w:t>
      </w:r>
    </w:p>
    <w:p>
      <w:pPr>
        <w:pStyle w:val="A"/>
        <w:numPr>
          <w:ilvl w:val="0"/>
          <w:numId w:val="0"/>
        </w:numPr>
        <w:spacing w:lineRule="auto" w:line="480" w:before="0" w:after="0"/>
        <w:ind w:hanging="720" w:start="720" w:end="0"/>
        <w:jc w:val="start"/>
        <w:rPr/>
      </w:pPr>
      <w:r>
        <w:rPr/>
        <w:t>Q.4.</w:t>
        <w:tab/>
        <w:t>Did MID supply the CAISO with MID’s heat ratings in response to the Commission’s April 26, 2001 Order in this proceeding?</w:t>
      </w:r>
    </w:p>
    <w:p>
      <w:pPr>
        <w:pStyle w:val="A"/>
        <w:numPr>
          <w:ilvl w:val="0"/>
          <w:numId w:val="0"/>
        </w:numPr>
        <w:spacing w:lineRule="auto" w:line="480" w:before="0" w:after="0"/>
        <w:ind w:hanging="720" w:start="720" w:end="0"/>
        <w:jc w:val="start"/>
        <w:rPr/>
      </w:pPr>
      <w:r>
        <w:rPr/>
        <w:t>A.4.</w:t>
        <w:tab/>
        <w:t>Yes.</w:t>
      </w:r>
    </w:p>
    <w:p>
      <w:pPr>
        <w:pStyle w:val="A"/>
        <w:numPr>
          <w:ilvl w:val="0"/>
          <w:numId w:val="0"/>
        </w:numPr>
        <w:spacing w:lineRule="auto" w:line="480" w:before="0" w:after="0"/>
        <w:ind w:hanging="720" w:start="720" w:end="0"/>
        <w:jc w:val="start"/>
        <w:rPr/>
      </w:pPr>
      <w:r>
        <w:rPr/>
        <w:t>Q.5.</w:t>
        <w:tab/>
        <w:t>Have you reviewed the data submitted by the CAISO in this proceeding regarding the CAISO’s statement of the Mitigated Market Clearing Price?</w:t>
      </w:r>
    </w:p>
    <w:p>
      <w:pPr>
        <w:pStyle w:val="A"/>
        <w:numPr>
          <w:ilvl w:val="0"/>
          <w:numId w:val="0"/>
        </w:numPr>
        <w:spacing w:lineRule="auto" w:line="480" w:before="0" w:after="0"/>
        <w:ind w:hanging="720" w:start="720" w:end="0"/>
        <w:jc w:val="start"/>
        <w:rPr/>
      </w:pPr>
      <w:r>
        <w:rPr/>
        <w:t>A.5.</w:t>
        <w:tab/>
        <w:t>Yes.</w:t>
      </w:r>
    </w:p>
    <w:p>
      <w:pPr>
        <w:pStyle w:val="A"/>
        <w:numPr>
          <w:ilvl w:val="0"/>
          <w:numId w:val="0"/>
        </w:numPr>
        <w:spacing w:lineRule="auto" w:line="480" w:before="0" w:after="0"/>
        <w:ind w:hanging="720" w:start="720" w:end="0"/>
        <w:jc w:val="start"/>
        <w:rPr/>
      </w:pPr>
      <w:r>
        <w:rPr/>
        <w:t>Q.6.</w:t>
        <w:tab/>
        <w:t>Are you able to interpret the data supporting the CAISO’s statement of the Mitigated Market Clearing Price?</w:t>
      </w:r>
    </w:p>
    <w:p>
      <w:pPr>
        <w:pStyle w:val="A"/>
        <w:numPr>
          <w:ilvl w:val="0"/>
          <w:numId w:val="0"/>
        </w:numPr>
        <w:spacing w:lineRule="auto" w:line="480" w:before="0" w:after="0"/>
        <w:ind w:hanging="720" w:start="720" w:end="0"/>
        <w:jc w:val="start"/>
        <w:rPr/>
      </w:pPr>
      <w:r>
        <w:rPr/>
        <w:t>A.6.</w:t>
        <w:tab/>
        <w:t>No.  I have found it incomprehensible, and subject to various, conflicting interpretations.  I do not find the CAISO’s data useful in determining the Mitigated Market Clearing Price.</w:t>
      </w:r>
    </w:p>
    <w:p>
      <w:pPr>
        <w:pStyle w:val="A"/>
        <w:numPr>
          <w:ilvl w:val="0"/>
          <w:numId w:val="0"/>
        </w:numPr>
        <w:spacing w:lineRule="auto" w:line="480" w:before="0" w:after="0"/>
        <w:ind w:hanging="720" w:start="720" w:end="0"/>
        <w:jc w:val="start"/>
        <w:rPr/>
      </w:pPr>
      <w:r>
        <w:rPr/>
        <w:t>Q.7.</w:t>
        <w:tab/>
        <w:t>What is your opinion of the CAISO’s use of incremental heat rates for each unit bid into the CAISO’s Real-Time Market to determine the Mitigated Market Clearing Price, for example, as stated in Exh. No. ISO-1 at 28:6-10, 33:15-34:15?</w:t>
      </w:r>
    </w:p>
    <w:p>
      <w:pPr>
        <w:pStyle w:val="A"/>
        <w:numPr>
          <w:ilvl w:val="0"/>
          <w:numId w:val="0"/>
        </w:numPr>
        <w:spacing w:lineRule="auto" w:line="480" w:before="0" w:after="0"/>
        <w:ind w:hanging="720" w:start="720" w:end="0"/>
        <w:jc w:val="start"/>
        <w:rPr/>
      </w:pPr>
      <w:r>
        <w:rPr/>
        <w:t>A.7.</w:t>
        <w:tab/>
        <w:t xml:space="preserve">I disagree with the CAISO’s conclusion on this point.  The proper heat rates to be applied in calculating the Mitigated Market Clearing Price are the average heat rates over the hour.  </w:t>
      </w:r>
      <w:r>
        <w:rPr>
          <w:rFonts w:cs="Courier New"/>
          <w:lang w:val="en-CA"/>
        </w:rPr>
      </w:r>
      <w:r>
        <w:rPr>
          <w:rFonts w:cs="Courier New"/>
          <w:lang w:val="en-CA"/>
        </w:rPr>
        <w:t>I</w:t>
      </w:r>
      <w:r>
        <w:rPr/>
        <w:t>n only permitting marginal units dispatched in the real-time markets to set the Mitigated Market Clearing Price, the CAISO mistakenly assumes that units dispatched in the real-time imbalance market will always be the marginal unit (</w:t>
      </w:r>
      <w:r>
        <w:rPr>
          <w:i/>
          <w:iCs/>
        </w:rPr>
        <w:t>i.e.</w:t>
      </w:r>
      <w:r>
        <w:rPr/>
        <w:t xml:space="preserve"> most expensive) for any given hour.  This assumption is simply not true.  Average heat rate curves are used to calculate the cost of all energy produced by a unit at any given output.  Incremental heat rate curves are used to calculate the cost of increasing or decreasing the output of a unit by a given amount.  Depending on the operating characteristics of a given unit, the Incremental Heat Rate at any given output may be more, less, or equal to the average Heat Rate.  In many cases, the incremental heat rate for a unit is significantly lower than the average heat rate over the full operating range of that unit.</w:t>
      </w:r>
    </w:p>
    <w:p>
      <w:pPr>
        <w:pStyle w:val="A"/>
        <w:numPr>
          <w:ilvl w:val="0"/>
          <w:numId w:val="0"/>
        </w:numPr>
        <w:spacing w:lineRule="auto" w:line="480" w:before="0" w:after="0"/>
        <w:ind w:hanging="720" w:start="720" w:end="0"/>
        <w:jc w:val="start"/>
        <w:rPr/>
      </w:pPr>
      <w:r>
        <w:rPr/>
        <w:t xml:space="preserve"> </w:t>
      </w:r>
    </w:p>
    <w:p>
      <w:pPr>
        <w:pStyle w:val="A"/>
        <w:numPr>
          <w:ilvl w:val="0"/>
          <w:numId w:val="0"/>
        </w:numPr>
        <w:spacing w:lineRule="auto" w:line="480" w:before="0" w:after="0"/>
        <w:ind w:hanging="720" w:start="720" w:end="0"/>
        <w:jc w:val="start"/>
        <w:rPr/>
      </w:pPr>
      <w:r>
        <w:rPr/>
        <w:tab/>
        <w:t xml:space="preserve">Therefore, incremental heat rates cannot be relied on to provide accurate Market Clearing Prices for all energy consumed in any hour.  For example, on any given hour, a unit scheduled in the CAISO Hour-Ahead market may be operating at a 14,000 Btu/hour heat rate.  However, the most-expensive unit dispatched in real-time may have a lesser, </w:t>
      </w:r>
      <w:r>
        <w:rPr>
          <w:i/>
          <w:iCs/>
        </w:rPr>
        <w:t>e.g.</w:t>
      </w:r>
      <w:r>
        <w:rPr/>
        <w:t>, 9,000 Btu/hour, incremental heat rate.  Thus, basing the Mitigated Market Clearing Price on only the last unit dispatched in real-time could ignore the actual marginal unit providing energy in the spot market, the market for which the Commission has ordered refunds.  Such calculations will result in unreasonably inflated refund obligations.  Accordingly, the CAISO’s method in calculating the Mitigated Market Clearing Price based on incremental heat rates is flawed.  The correct method is to use average heat rate curves.</w:t>
      </w:r>
    </w:p>
    <w:p>
      <w:pPr>
        <w:pStyle w:val="A"/>
        <w:numPr>
          <w:ilvl w:val="0"/>
          <w:numId w:val="0"/>
        </w:numPr>
        <w:spacing w:lineRule="auto" w:line="480" w:before="0" w:after="0"/>
        <w:ind w:hanging="720" w:start="720" w:end="0"/>
        <w:jc w:val="start"/>
        <w:rPr>
          <w:rFonts w:ascii="Tahoma" w:hAnsi="Tahoma" w:cs="Tahoma"/>
          <w:sz w:val="16"/>
          <w:szCs w:val="16"/>
        </w:rPr>
      </w:pPr>
      <w:r>
        <w:rPr/>
        <w:tab/>
        <w:t xml:space="preserve">  </w:t>
      </w:r>
    </w:p>
    <w:p>
      <w:pPr>
        <w:pStyle w:val="Q"/>
        <w:numPr>
          <w:ilvl w:val="0"/>
          <w:numId w:val="0"/>
        </w:numPr>
        <w:spacing w:lineRule="auto" w:line="480" w:before="0" w:after="0"/>
        <w:ind w:hanging="0" w:start="0"/>
        <w:jc w:val="start"/>
        <w:rPr/>
      </w:pPr>
      <w:r>
        <w:rPr/>
        <w:t>Q.8.</w:t>
        <w:tab/>
        <w:t>Does this conclude your written testimony?</w:t>
      </w:r>
    </w:p>
    <w:p>
      <w:pPr>
        <w:pStyle w:val="Q"/>
        <w:numPr>
          <w:ilvl w:val="0"/>
          <w:numId w:val="0"/>
        </w:numPr>
        <w:spacing w:lineRule="auto" w:line="480" w:before="0" w:after="0"/>
        <w:ind w:hanging="0" w:start="0"/>
        <w:jc w:val="start"/>
        <w:rPr/>
      </w:pPr>
      <w:r>
        <w:rPr/>
        <w:t>A.8.</w:t>
        <w:tab/>
        <w:t>Yes.</w:t>
      </w:r>
    </w:p>
    <w:sectPr>
      <w:headerReference w:type="default" r:id="rId2"/>
      <w:type w:val="nextPage"/>
      <w:pgSz w:w="12240" w:h="15840"/>
      <w:pgMar w:left="2880" w:right="1440" w:gutter="0" w:header="720" w:top="1440" w:footer="0" w:bottom="1440"/>
      <w:lnNumType w:countBy="1" w:restart="newPage"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rPr>
    </w:pPr>
    <w:r>
      <w:rPr>
        <w:b/>
        <w:sz w:val="20"/>
      </w:rPr>
      <w:t>Exh. No. MID-1</w:t>
    </w:r>
  </w:p>
  <w:p>
    <w:pPr>
      <w:pStyle w:val="Header"/>
      <w:spacing w:before="0" w:after="120"/>
      <w:ind w:hanging="0" w:start="0" w:end="0"/>
      <w:jc w:val="end"/>
      <w:rPr/>
    </w:pPr>
    <w:r>
      <w:rPr>
        <w:b/>
        <w:sz w:val="20"/>
      </w:rPr>
      <w:t xml:space="preserve">Page </w:t>
    </w:r>
    <w:r>
      <w:rPr>
        <w:rStyle w:val="PageNumber"/>
        <w:b/>
        <w:sz w:val="20"/>
      </w:rPr>
      <w:fldChar w:fldCharType="begin"/>
    </w:r>
    <w:r>
      <w:rPr>
        <w:rStyle w:val="PageNumber"/>
        <w:sz w:val="20"/>
        <w:b/>
      </w:rPr>
      <w:instrText xml:space="preserve"> PAGE </w:instrText>
    </w:r>
    <w:r>
      <w:rPr>
        <w:rStyle w:val="PageNumber"/>
        <w:sz w:val="20"/>
        <w:b/>
      </w:rPr>
      <w:fldChar w:fldCharType="separate"/>
    </w:r>
    <w:r>
      <w:rPr>
        <w:rStyle w:val="PageNumber"/>
        <w:sz w:val="20"/>
        <w:b/>
      </w:rPr>
      <w:t>4</w:t>
    </w:r>
    <w:r>
      <w:rPr>
        <w:rStyle w:val="PageNumber"/>
        <w:sz w:val="20"/>
        <w:b/>
      </w:rPr>
      <w:fldChar w:fldCharType="end"/>
    </w:r>
    <w:r>
      <w:rPr>
        <w:b/>
        <w:sz w:val="20"/>
      </w:rPr>
      <w:t xml:space="preserve"> of 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Q.%1."/>
      <w:lvlJc w:val="start"/>
      <w:pPr>
        <w:tabs>
          <w:tab w:val="num" w:pos="780"/>
        </w:tabs>
        <w:ind w:start="780" w:hanging="420"/>
      </w:pPr>
      <w:rPr/>
    </w:lvl>
  </w:abstractNum>
  <w:abstractNum w:abstractNumId="3">
    <w:lvl w:ilvl="0">
      <w:start w:val="1"/>
      <w:numFmt w:val="decimal"/>
      <w:lvlText w:val="A.%1."/>
      <w:lvlJc w:val="start"/>
      <w:pPr>
        <w:tabs>
          <w:tab w:val="num" w:pos="420"/>
        </w:tabs>
        <w:ind w:start="420" w:hanging="4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ind w:hanging="720" w:start="720" w:end="0"/>
      <w:jc w:val="both"/>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360" w:after="120"/>
      <w:outlineLvl w:val="0"/>
    </w:pPr>
    <w:rPr>
      <w:rFonts w:cs="Arial"/>
      <w:b/>
      <w:bCs/>
      <w:caps/>
      <w:kern w:val="2"/>
      <w:szCs w:val="32"/>
    </w:rPr>
  </w:style>
  <w:style w:type="paragraph" w:styleId="Heading2">
    <w:name w:val="heading 2"/>
    <w:basedOn w:val="Normal"/>
    <w:next w:val="Normal"/>
    <w:qFormat/>
    <w:pPr>
      <w:keepNext w:val="true"/>
      <w:numPr>
        <w:ilvl w:val="1"/>
        <w:numId w:val="1"/>
      </w:numPr>
      <w:spacing w:before="360" w:after="120"/>
      <w:ind w:hanging="0" w:start="0" w:end="0"/>
      <w:outlineLvl w:val="1"/>
    </w:pPr>
    <w:rPr>
      <w:rFonts w:ascii="Times New Roman Bold;Times New Roman" w:hAnsi="Times New Roman Bold;Times New Roman" w:cs="Times New Roman Bold;Times New Roman"/>
      <w:b/>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 w:val="left" w:pos="0" w:leader="none"/>
        <w:tab w:val="left" w:pos="286" w:leader="none"/>
        <w:tab w:val="left" w:pos="1142" w:leader="none"/>
        <w:tab w:val="left" w:pos="1714" w:leader="none"/>
        <w:tab w:val="left" w:pos="2160" w:leader="none"/>
      </w:tabs>
      <w:suppressAutoHyphens w:val="true"/>
      <w:spacing w:before="360" w:after="120"/>
      <w:ind w:hanging="0" w:start="0" w:end="0"/>
      <w:outlineLvl w:val="2"/>
    </w:pPr>
    <w:rPr>
      <w:i/>
      <w:spacing w:val="-3"/>
      <w:szCs w:val="20"/>
    </w:rPr>
  </w:style>
  <w:style w:type="paragraph" w:styleId="Heading4">
    <w:name w:val="heading 4"/>
    <w:basedOn w:val="Normal"/>
    <w:next w:val="Normal"/>
    <w:qFormat/>
    <w:pPr>
      <w:keepNext w:val="true"/>
      <w:numPr>
        <w:ilvl w:val="3"/>
        <w:numId w:val="1"/>
      </w:numPr>
      <w:suppressAutoHyphens w:val="true"/>
      <w:ind w:hanging="0" w:start="720" w:end="0"/>
      <w:outlineLvl w:val="3"/>
    </w:pPr>
    <w:rPr/>
  </w:style>
  <w:style w:type="paragraph" w:styleId="Heading5">
    <w:name w:val="heading 5"/>
    <w:basedOn w:val="Normal"/>
    <w:next w:val="Normal"/>
    <w:qFormat/>
    <w:pPr>
      <w:keepNext w:val="true"/>
      <w:numPr>
        <w:ilvl w:val="4"/>
        <w:numId w:val="1"/>
      </w:numPr>
      <w:ind w:hanging="0" w:start="0" w:end="0"/>
      <w:jc w:val="center"/>
      <w:outlineLvl w:val="4"/>
    </w:pPr>
    <w:rPr>
      <w:rFonts w:ascii="Times New Roman Bold;Times New Roman" w:hAnsi="Times New Roman Bold;Times New Roman" w:cs="Times New Roman Bold;Times New Roman"/>
      <w:b/>
      <w:szCs w:val="20"/>
    </w:rPr>
  </w:style>
  <w:style w:type="paragraph" w:styleId="Heading6">
    <w:name w:val="heading 6"/>
    <w:basedOn w:val="Normal"/>
    <w:next w:val="Normal"/>
    <w:qFormat/>
    <w:pPr>
      <w:keepNext w:val="true"/>
      <w:numPr>
        <w:ilvl w:val="5"/>
        <w:numId w:val="1"/>
      </w:numPr>
      <w:ind w:hanging="0" w:start="0" w:end="0"/>
      <w:outlineLvl w:val="5"/>
    </w:pPr>
    <w:rPr>
      <w:rFonts w:ascii="Times New Roman Bold;Times New Roman" w:hAnsi="Times New Roman Bold;Times New Roman" w:cs="Times New Roman Bold;Times New Roman"/>
      <w:b/>
      <w:szCs w:val="20"/>
    </w:rPr>
  </w:style>
  <w:style w:type="paragraph" w:styleId="Heading7">
    <w:name w:val="heading 7"/>
    <w:basedOn w:val="Normal"/>
    <w:next w:val="Normal"/>
    <w:qFormat/>
    <w:pPr>
      <w:keepNext w:val="true"/>
      <w:numPr>
        <w:ilvl w:val="6"/>
        <w:numId w:val="1"/>
      </w:numPr>
      <w:spacing w:before="0" w:after="0"/>
      <w:ind w:hanging="0" w:start="0" w:end="0"/>
      <w:jc w:val="center"/>
      <w:outlineLvl w:val="6"/>
    </w:pPr>
    <w:rPr>
      <w:rFonts w:ascii="Times New Roman Bold;Times New Roman" w:hAnsi="Times New Roman Bold;Times New Roman" w:cs="Times New Roman Bold;Times New Roman"/>
      <w:b/>
      <w:szCs w:val="20"/>
    </w:rPr>
  </w:style>
  <w:style w:type="paragraph" w:styleId="Heading8">
    <w:name w:val="heading 8"/>
    <w:basedOn w:val="Normal"/>
    <w:next w:val="Normal"/>
    <w:qFormat/>
    <w:pPr>
      <w:numPr>
        <w:ilvl w:val="7"/>
        <w:numId w:val="1"/>
      </w:numPr>
      <w:spacing w:before="0" w:after="0"/>
      <w:ind w:hanging="0" w:start="0" w:end="0"/>
      <w:jc w:val="start"/>
      <w:outlineLvl w:val="7"/>
    </w:pPr>
    <w:rPr>
      <w:szCs w:val="20"/>
    </w:rPr>
  </w:style>
  <w:style w:type="paragraph" w:styleId="Heading9">
    <w:name w:val="heading 9"/>
    <w:basedOn w:val="Normal"/>
    <w:next w:val="Normal"/>
    <w:qFormat/>
    <w:pPr>
      <w:keepNext w:val="true"/>
      <w:numPr>
        <w:ilvl w:val="8"/>
        <w:numId w:val="1"/>
      </w:numPr>
      <w:spacing w:before="0" w:after="0"/>
      <w:jc w:val="start"/>
      <w:outlineLvl w:val="8"/>
    </w:pPr>
    <w:rPr>
      <w:b/>
      <w:bCs/>
      <w:sz w:val="18"/>
      <w:szCs w:val="22"/>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1">
    <w:name w:val="WW8Num27z1"/>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style>
  <w:style w:type="character" w:styleId="WW8Num33z0">
    <w:name w:val="WW8Num33z0"/>
    <w:qFormat/>
    <w:rPr/>
  </w:style>
  <w:style w:type="character" w:styleId="WW8Num34z0">
    <w:name w:val="WW8Num34z0"/>
    <w:qFormat/>
    <w:rPr>
      <w:rFonts w:ascii="Symbol" w:hAnsi="Symbol" w:cs="Symbol"/>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b/>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Wingdings" w:hAnsi="Wingdings" w:cs="Wingdings"/>
    </w:rPr>
  </w:style>
  <w:style w:type="character" w:styleId="WW8Num43z1">
    <w:name w:val="WW8Num43z1"/>
    <w:qFormat/>
    <w:rPr>
      <w:rFonts w:ascii="Courier New" w:hAnsi="Courier New" w:cs="Courier New"/>
    </w:rPr>
  </w:style>
  <w:style w:type="character" w:styleId="WW8Num43z3">
    <w:name w:val="WW8Num43z3"/>
    <w:qFormat/>
    <w:rPr>
      <w:rFonts w:ascii="Symbol" w:hAnsi="Symbol" w:cs="Symbol"/>
    </w:rPr>
  </w:style>
  <w:style w:type="character" w:styleId="WW8Num44z0">
    <w:name w:val="WW8Num44z0"/>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9z0">
    <w:name w:val="WW8Num49z0"/>
    <w:qFormat/>
    <w:rPr/>
  </w:style>
  <w:style w:type="character" w:styleId="WW8NumSt51z0">
    <w:name w:val="WW8NumSt51z0"/>
    <w:qFormat/>
    <w:rPr>
      <w:rFonts w:ascii="Times New Roman" w:hAnsi="Times New Roman" w:cs="Times New Roma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ind w:hanging="0" w:start="0" w:end="0"/>
    </w:pPr>
    <w:rPr>
      <w:b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1584" w:leader="none"/>
        <w:tab w:val="left" w:pos="1872" w:leader="none"/>
        <w:tab w:val="right" w:pos="8640" w:leader="dot"/>
      </w:tabs>
      <w:spacing w:before="0" w:after="0"/>
      <w:ind w:hanging="0" w:start="1152" w:end="0"/>
    </w:pPr>
    <w:rPr>
      <w:rFonts w:ascii="Times New Roman Bold;Times New Roman" w:hAnsi="Times New Roman Bold;Times New Roman" w:cs="Times New Roman Bold;Times New Roman"/>
      <w:lang w:val="en-CA" w:eastAsia="en-CA"/>
    </w:rPr>
  </w:style>
  <w:style w:type="paragraph" w:styleId="TOC2">
    <w:name w:val="toc 2"/>
    <w:basedOn w:val="Normal"/>
    <w:next w:val="Normal"/>
    <w:pPr>
      <w:spacing w:before="0" w:after="0"/>
      <w:ind w:hanging="1152" w:start="1872" w:end="0"/>
    </w:pPr>
    <w:rPr/>
  </w:style>
  <w:style w:type="paragraph" w:styleId="TOC3">
    <w:name w:val="toc 3"/>
    <w:basedOn w:val="Normal"/>
    <w:next w:val="Normal"/>
    <w:pPr>
      <w:ind w:hanging="720" w:start="480" w:end="0"/>
    </w:pPr>
    <w:rPr/>
  </w:style>
  <w:style w:type="paragraph" w:styleId="Q">
    <w:name w:val="Q"/>
    <w:basedOn w:val="Normal"/>
    <w:qFormat/>
    <w:pPr>
      <w:numPr>
        <w:ilvl w:val="0"/>
        <w:numId w:val="2"/>
      </w:numPr>
      <w:tabs>
        <w:tab w:val="left" w:pos="720" w:leader="none"/>
      </w:tabs>
      <w:ind w:hanging="720" w:start="720" w:end="0"/>
    </w:pPr>
    <w:rPr/>
  </w:style>
  <w:style w:type="paragraph" w:styleId="FootnoteText">
    <w:name w:val="footnote text"/>
    <w:basedOn w:val="Normal"/>
    <w:pPr>
      <w:ind w:hanging="0" w:start="0" w:end="0"/>
    </w:pPr>
    <w:rPr>
      <w:sz w:val="20"/>
      <w:szCs w:val="20"/>
    </w:rPr>
  </w:style>
  <w:style w:type="paragraph" w:styleId="A">
    <w:name w:val="A"/>
    <w:basedOn w:val="Normal"/>
    <w:qFormat/>
    <w:pPr>
      <w:numPr>
        <w:ilvl w:val="0"/>
        <w:numId w:val="3"/>
      </w:numPr>
      <w:tabs>
        <w:tab w:val="left" w:pos="720" w:leader="none"/>
      </w:tabs>
      <w:ind w:hanging="720" w:start="720" w:end="0"/>
    </w:pPr>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0" w:end="0"/>
      <w:jc w:val="center"/>
    </w:pPr>
    <w:rPr>
      <w:b/>
    </w:rPr>
  </w:style>
  <w:style w:type="paragraph" w:styleId="TOC4">
    <w:name w:val="toc 4"/>
    <w:basedOn w:val="Normal"/>
    <w:next w:val="Normal"/>
    <w:pPr/>
    <w:rPr/>
  </w:style>
  <w:style w:type="paragraph" w:styleId="TOC5">
    <w:name w:val="toc 5"/>
    <w:basedOn w:val="Normal"/>
    <w:next w:val="Normal"/>
    <w:pPr>
      <w:ind w:hanging="720" w:start="960" w:end="0"/>
    </w:pPr>
    <w:rPr/>
  </w:style>
  <w:style w:type="paragraph" w:styleId="TOC6">
    <w:name w:val="toc 6"/>
    <w:basedOn w:val="Normal"/>
    <w:next w:val="Normal"/>
    <w:pPr>
      <w:ind w:hanging="720" w:start="1200" w:end="0"/>
    </w:pPr>
    <w:rPr/>
  </w:style>
  <w:style w:type="paragraph" w:styleId="TOC7">
    <w:name w:val="toc 7"/>
    <w:basedOn w:val="Normal"/>
    <w:next w:val="Normal"/>
    <w:pPr>
      <w:ind w:hanging="720" w:start="1440" w:end="0"/>
    </w:pPr>
    <w:rPr/>
  </w:style>
  <w:style w:type="paragraph" w:styleId="TOC8">
    <w:name w:val="toc 8"/>
    <w:basedOn w:val="Normal"/>
    <w:next w:val="Normal"/>
    <w:pPr>
      <w:ind w:hanging="720" w:start="1680" w:end="0"/>
    </w:pPr>
    <w:rPr/>
  </w:style>
  <w:style w:type="paragraph" w:styleId="TOC9">
    <w:name w:val="toc 9"/>
    <w:basedOn w:val="Normal"/>
    <w:next w:val="Normal"/>
    <w:pPr>
      <w:ind w:hanging="720" w:start="1920" w:end="0"/>
    </w:pPr>
    <w:rPr/>
  </w:style>
  <w:style w:type="paragraph" w:styleId="Level1">
    <w:name w:val="Level 1"/>
    <w:qFormat/>
    <w:pPr>
      <w:widowControl/>
      <w:autoSpaceDE w:val="false"/>
      <w:bidi w:val="0"/>
      <w:ind w:hanging="0" w:start="720" w:end="0"/>
    </w:pPr>
    <w:rPr>
      <w:rFonts w:ascii="Times New Roman" w:hAnsi="Times New Roman" w:eastAsia="Times New Roman" w:cs="Times New Roman"/>
      <w:color w:val="auto"/>
      <w:sz w:val="20"/>
      <w:szCs w:val="24"/>
      <w:lang w:val="en-US" w:bidi="ar-SA" w:eastAsia="zh-C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2001-11-06T11:04:00Z</dcterms:created>
  <dc:creator>Laurence D. Kirsch</dc:creator>
  <dc:description/>
  <dc:language>en-CA</dc:language>
  <cp:lastModifiedBy>13W5J01</cp:lastModifiedBy>
  <cp:lastPrinted>2001-11-06T13:39:00Z</cp:lastPrinted>
  <dcterms:modified xsi:type="dcterms:W3CDTF">2001-11-06T16:23:00Z</dcterms:modified>
  <cp:revision>17</cp:revision>
  <dc:subject/>
  <dc:title>MODESTO IRRIGATION DISTRICT</dc:title>
</cp:coreProperties>
</file>